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65FD" w14:textId="294DB32D" w:rsidR="00BA1B07" w:rsidRPr="001F6B22" w:rsidRDefault="00554009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1F6B22">
        <w:rPr>
          <w:rFonts w:asciiTheme="majorHAnsi" w:hAnsiTheme="majorHAnsi" w:cs="Arial"/>
        </w:rPr>
        <w:t>Nr sprawy:</w:t>
      </w:r>
      <w:r w:rsidR="006B1801">
        <w:rPr>
          <w:rFonts w:asciiTheme="majorHAnsi" w:hAnsiTheme="majorHAnsi" w:cs="Arial"/>
        </w:rPr>
        <w:t xml:space="preserve"> </w:t>
      </w:r>
      <w:r w:rsidR="00C21192" w:rsidRPr="00C21192">
        <w:rPr>
          <w:rFonts w:asciiTheme="majorHAnsi" w:hAnsiTheme="majorHAnsi" w:cs="Arial"/>
          <w:b/>
        </w:rPr>
        <w:t>DT 1/16</w:t>
      </w:r>
    </w:p>
    <w:p w14:paraId="0084634C" w14:textId="77777777" w:rsidR="008A41B7" w:rsidRPr="001F6B22" w:rsidRDefault="008A41B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14:paraId="052F971B" w14:textId="77777777" w:rsidR="00554009" w:rsidRPr="001F6B22" w:rsidRDefault="00EA1AF5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1F6B22">
        <w:rPr>
          <w:rFonts w:asciiTheme="majorHAnsi" w:hAnsiTheme="majorHAnsi" w:cs="Arial"/>
          <w:b/>
          <w:sz w:val="28"/>
          <w:szCs w:val="28"/>
        </w:rPr>
        <w:t xml:space="preserve">OPIS OCZEKIWAŃ ZAMAWIAJĄCEGO </w:t>
      </w:r>
    </w:p>
    <w:p w14:paraId="0DC48FA6" w14:textId="77777777" w:rsidR="00374E9A" w:rsidRPr="001F6B22" w:rsidRDefault="00374E9A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0"/>
        </w:rPr>
      </w:pPr>
    </w:p>
    <w:p w14:paraId="48C7868E" w14:textId="7772E5F3" w:rsidR="00692458" w:rsidRPr="0009159A" w:rsidRDefault="006F6770" w:rsidP="0009159A">
      <w:pPr>
        <w:pStyle w:val="Tekstpodstawowywcity"/>
        <w:widowControl w:val="0"/>
        <w:spacing w:before="40" w:after="40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9159A">
        <w:rPr>
          <w:rFonts w:asciiTheme="majorHAnsi" w:hAnsiTheme="majorHAnsi" w:cs="Arial"/>
          <w:b/>
          <w:sz w:val="22"/>
          <w:szCs w:val="22"/>
        </w:rPr>
        <w:t>w</w:t>
      </w:r>
      <w:proofErr w:type="gramEnd"/>
      <w:r w:rsidR="00EA1AF5" w:rsidRPr="0009159A">
        <w:rPr>
          <w:rFonts w:asciiTheme="majorHAnsi" w:hAnsiTheme="majorHAnsi" w:cs="Arial"/>
          <w:b/>
          <w:sz w:val="22"/>
          <w:szCs w:val="22"/>
        </w:rPr>
        <w:t xml:space="preserve"> ramach </w:t>
      </w:r>
      <w:r w:rsidR="0071718E">
        <w:rPr>
          <w:rFonts w:asciiTheme="majorHAnsi" w:hAnsiTheme="majorHAnsi" w:cs="Arial"/>
          <w:b/>
          <w:sz w:val="22"/>
          <w:szCs w:val="22"/>
        </w:rPr>
        <w:t>d</w:t>
      </w:r>
      <w:r w:rsidR="00EA1AF5" w:rsidRPr="0009159A">
        <w:rPr>
          <w:rFonts w:asciiTheme="majorHAnsi" w:hAnsiTheme="majorHAnsi" w:cs="Arial"/>
          <w:b/>
          <w:sz w:val="22"/>
          <w:szCs w:val="22"/>
        </w:rPr>
        <w:t xml:space="preserve">ialogu </w:t>
      </w:r>
      <w:r w:rsidR="0071718E">
        <w:rPr>
          <w:rFonts w:asciiTheme="majorHAnsi" w:hAnsiTheme="majorHAnsi" w:cs="Arial"/>
          <w:b/>
          <w:sz w:val="22"/>
          <w:szCs w:val="22"/>
        </w:rPr>
        <w:t>t</w:t>
      </w:r>
      <w:r w:rsidR="00EA1AF5" w:rsidRPr="0009159A">
        <w:rPr>
          <w:rFonts w:asciiTheme="majorHAnsi" w:hAnsiTheme="majorHAnsi" w:cs="Arial"/>
          <w:b/>
          <w:sz w:val="22"/>
          <w:szCs w:val="22"/>
        </w:rPr>
        <w:t>echnicznego poprzedzającego</w:t>
      </w:r>
      <w:r w:rsidR="00374E9A" w:rsidRPr="0009159A">
        <w:rPr>
          <w:rFonts w:asciiTheme="majorHAnsi" w:hAnsiTheme="majorHAnsi" w:cs="Arial"/>
          <w:b/>
          <w:sz w:val="22"/>
          <w:szCs w:val="22"/>
        </w:rPr>
        <w:t xml:space="preserve"> wszczęcie postępowania </w:t>
      </w:r>
      <w:r w:rsidR="00692458" w:rsidRPr="0009159A">
        <w:rPr>
          <w:rFonts w:asciiTheme="majorHAnsi" w:hAnsiTheme="majorHAnsi" w:cs="Arial"/>
          <w:b/>
          <w:sz w:val="22"/>
          <w:szCs w:val="22"/>
        </w:rPr>
        <w:t>na:</w:t>
      </w:r>
    </w:p>
    <w:p w14:paraId="2981D8B8" w14:textId="5100BCAF" w:rsidR="008A7CF2" w:rsidRPr="001F6B22" w:rsidRDefault="00F2575A" w:rsidP="0009159A">
      <w:pPr>
        <w:widowControl w:val="0"/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b/>
          <w:sz w:val="22"/>
          <w:szCs w:val="22"/>
        </w:rPr>
        <w:t>wyprodukowanie</w:t>
      </w:r>
      <w:proofErr w:type="gramEnd"/>
      <w:r w:rsidRPr="001F6B22">
        <w:rPr>
          <w:rFonts w:asciiTheme="majorHAnsi" w:hAnsiTheme="majorHAnsi" w:cs="Arial"/>
          <w:b/>
          <w:sz w:val="22"/>
          <w:szCs w:val="22"/>
        </w:rPr>
        <w:t xml:space="preserve"> i dostawę Zestawów Koncentratorowo-Bilansujących</w:t>
      </w:r>
      <w:r w:rsidR="0009159A">
        <w:rPr>
          <w:rFonts w:asciiTheme="majorHAnsi" w:hAnsiTheme="majorHAnsi" w:cs="Arial"/>
          <w:b/>
          <w:sz w:val="22"/>
          <w:szCs w:val="22"/>
        </w:rPr>
        <w:t xml:space="preserve"> </w:t>
      </w:r>
      <w:r w:rsidR="0009159A" w:rsidRPr="0009159A">
        <w:rPr>
          <w:rFonts w:asciiTheme="majorHAnsi" w:hAnsiTheme="majorHAnsi" w:cs="Arial"/>
          <w:b/>
          <w:sz w:val="22"/>
          <w:szCs w:val="22"/>
        </w:rPr>
        <w:t>na podstawie szczegółow</w:t>
      </w:r>
      <w:r w:rsidR="0009159A" w:rsidRPr="0009159A">
        <w:rPr>
          <w:rFonts w:asciiTheme="majorHAnsi" w:hAnsiTheme="majorHAnsi" w:cs="Arial"/>
          <w:b/>
          <w:sz w:val="22"/>
          <w:szCs w:val="22"/>
        </w:rPr>
        <w:t>e</w:t>
      </w:r>
      <w:r w:rsidR="0009159A" w:rsidRPr="0009159A">
        <w:rPr>
          <w:rFonts w:asciiTheme="majorHAnsi" w:hAnsiTheme="majorHAnsi" w:cs="Arial"/>
          <w:b/>
          <w:sz w:val="22"/>
          <w:szCs w:val="22"/>
        </w:rPr>
        <w:t>go projektu technicznego dostarczonego przez Energa-Operator SA.</w:t>
      </w:r>
    </w:p>
    <w:p w14:paraId="7563CA3B" w14:textId="77777777" w:rsidR="00EA1AF5" w:rsidRPr="001F6B22" w:rsidRDefault="00EA1AF5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169CABC4" w14:textId="4C882B08" w:rsidR="004510F2" w:rsidRPr="001F6B22" w:rsidRDefault="004510F2" w:rsidP="00C21192">
      <w:pPr>
        <w:spacing w:after="120" w:line="280" w:lineRule="atLeast"/>
        <w:jc w:val="both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I. Wstęp</w:t>
      </w:r>
    </w:p>
    <w:p w14:paraId="10522CE7" w14:textId="4A6B9FF7" w:rsidR="00386AC4" w:rsidRPr="001F6B22" w:rsidRDefault="00386AC4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Energa-Operator SA kontynuuje realizację projektu wdrożenia systemu inteligentnego opomiarowania (System AMI). Jako kolejny etap tego projektu Energa-Operator SA zleciła opracowanie projektu technic</w:t>
      </w:r>
      <w:r w:rsidRPr="001F6B22">
        <w:rPr>
          <w:rFonts w:asciiTheme="majorHAnsi" w:hAnsiTheme="majorHAnsi" w:cs="Arial"/>
          <w:sz w:val="22"/>
          <w:szCs w:val="22"/>
        </w:rPr>
        <w:t>z</w:t>
      </w:r>
      <w:r w:rsidRPr="001F6B22">
        <w:rPr>
          <w:rFonts w:asciiTheme="majorHAnsi" w:hAnsiTheme="majorHAnsi" w:cs="Arial"/>
          <w:sz w:val="22"/>
          <w:szCs w:val="22"/>
        </w:rPr>
        <w:t xml:space="preserve">nego części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mechaniczno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– elektronicznej Zestawu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 xml:space="preserve">Koncentratorowo. 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>Opracowany projekt techniczny p</w:t>
      </w:r>
      <w:r w:rsidRPr="001F6B22">
        <w:rPr>
          <w:rFonts w:asciiTheme="majorHAnsi" w:hAnsiTheme="majorHAnsi" w:cs="Arial"/>
          <w:sz w:val="22"/>
          <w:szCs w:val="22"/>
        </w:rPr>
        <w:t>o</w:t>
      </w:r>
      <w:r w:rsidRPr="001F6B22">
        <w:rPr>
          <w:rFonts w:asciiTheme="majorHAnsi" w:hAnsiTheme="majorHAnsi" w:cs="Arial"/>
          <w:sz w:val="22"/>
          <w:szCs w:val="22"/>
        </w:rPr>
        <w:t xml:space="preserve">winien pozwolić na produkcję gotowych urządzeń przez podmioty specjalizujące się w produkcji urządzeń elektronicznych. Energa-Operator SA zakłada uruchomienie postępowania przetargowego, którego przedmiotem byłoby wyprodukowanie i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 xml:space="preserve">dostarczenie </w:t>
      </w:r>
      <w:r w:rsidR="00257FD5">
        <w:rPr>
          <w:rFonts w:asciiTheme="majorHAnsi" w:hAnsiTheme="majorHAnsi" w:cs="Arial"/>
          <w:sz w:val="22"/>
          <w:szCs w:val="22"/>
        </w:rPr>
        <w:t>co</w:t>
      </w:r>
      <w:proofErr w:type="gramEnd"/>
      <w:r w:rsidR="00257FD5">
        <w:rPr>
          <w:rFonts w:asciiTheme="majorHAnsi" w:hAnsiTheme="majorHAnsi" w:cs="Arial"/>
          <w:sz w:val="22"/>
          <w:szCs w:val="22"/>
        </w:rPr>
        <w:t xml:space="preserve"> najmniej 10 000 </w:t>
      </w:r>
      <w:r w:rsidRPr="001F6B22">
        <w:rPr>
          <w:rFonts w:asciiTheme="majorHAnsi" w:hAnsiTheme="majorHAnsi" w:cs="Arial"/>
          <w:sz w:val="22"/>
          <w:szCs w:val="22"/>
        </w:rPr>
        <w:t>sztuk Zestawów Koncentrator</w:t>
      </w:r>
      <w:r w:rsidRPr="001F6B22">
        <w:rPr>
          <w:rFonts w:asciiTheme="majorHAnsi" w:hAnsiTheme="majorHAnsi" w:cs="Arial"/>
          <w:sz w:val="22"/>
          <w:szCs w:val="22"/>
        </w:rPr>
        <w:t>o</w:t>
      </w:r>
      <w:r w:rsidRPr="001F6B22">
        <w:rPr>
          <w:rFonts w:asciiTheme="majorHAnsi" w:hAnsiTheme="majorHAnsi" w:cs="Arial"/>
          <w:sz w:val="22"/>
          <w:szCs w:val="22"/>
        </w:rPr>
        <w:t xml:space="preserve">wo – Bilansujących na podstawie projektu technicznego części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mechaniczno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– elektronicznej Zestawu Koncentratorowo-Bilansującego.</w:t>
      </w:r>
    </w:p>
    <w:p w14:paraId="1EE7AA66" w14:textId="77777777" w:rsidR="004510F2" w:rsidRPr="001F6B22" w:rsidRDefault="004510F2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3880D263" w14:textId="4113F6CF" w:rsidR="004510F2" w:rsidRPr="001F6B22" w:rsidRDefault="004510F2" w:rsidP="00C21192">
      <w:pPr>
        <w:spacing w:after="120" w:line="280" w:lineRule="atLeast"/>
        <w:jc w:val="both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II. Oczekiwania</w:t>
      </w:r>
    </w:p>
    <w:p w14:paraId="3B9149F3" w14:textId="77777777" w:rsidR="00386AC4" w:rsidRPr="001F6B22" w:rsidRDefault="00386AC4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Energa-Operator SA oczekuje, że wybrany w przetargu wykonawca będzie odpowiedzialny za:</w:t>
      </w:r>
    </w:p>
    <w:p w14:paraId="4FCEB350" w14:textId="77C168EA" w:rsidR="00386AC4" w:rsidRPr="001F6B22" w:rsidRDefault="00386AC4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przeanalizowanie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dostarczonego przez Energa-Operator SA</w:t>
      </w:r>
      <w:r w:rsidR="009C1A6F">
        <w:rPr>
          <w:rFonts w:asciiTheme="majorHAnsi" w:hAnsiTheme="majorHAnsi" w:cs="Arial"/>
          <w:sz w:val="22"/>
          <w:szCs w:val="22"/>
        </w:rPr>
        <w:t xml:space="preserve"> projektu</w:t>
      </w:r>
      <w:r w:rsidRPr="001F6B22">
        <w:rPr>
          <w:rFonts w:asciiTheme="majorHAnsi" w:hAnsiTheme="majorHAnsi" w:cs="Arial"/>
          <w:sz w:val="22"/>
          <w:szCs w:val="22"/>
        </w:rPr>
        <w:t xml:space="preserve"> pod kątem ewentualnych błędów, nieprawidłowości, niekompletności, </w:t>
      </w:r>
      <w:r w:rsidR="009C1A6F">
        <w:rPr>
          <w:rFonts w:asciiTheme="majorHAnsi" w:hAnsiTheme="majorHAnsi" w:cs="Arial"/>
          <w:sz w:val="22"/>
          <w:szCs w:val="22"/>
        </w:rPr>
        <w:t xml:space="preserve">optymalizacji technicznej i ekonomicznej, </w:t>
      </w:r>
      <w:r w:rsidRPr="001F6B22">
        <w:rPr>
          <w:rFonts w:asciiTheme="majorHAnsi" w:hAnsiTheme="majorHAnsi" w:cs="Arial"/>
          <w:sz w:val="22"/>
          <w:szCs w:val="22"/>
        </w:rPr>
        <w:t>itp.;</w:t>
      </w:r>
    </w:p>
    <w:p w14:paraId="02F286C2" w14:textId="77777777" w:rsidR="00082CC0" w:rsidRPr="001F6B22" w:rsidRDefault="00386AC4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wyprodukowanie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urządzeń zgodnie z projektem technicznym;</w:t>
      </w:r>
    </w:p>
    <w:p w14:paraId="2BFD470D" w14:textId="1DE4A870" w:rsidR="00082CC0" w:rsidRDefault="00CF5D8A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zapewnienie</w:t>
      </w:r>
      <w:proofErr w:type="gramEnd"/>
      <w:r w:rsidR="00082CC0" w:rsidRPr="001F6B22">
        <w:rPr>
          <w:rFonts w:asciiTheme="majorHAnsi" w:hAnsiTheme="majorHAnsi" w:cs="Arial"/>
          <w:sz w:val="22"/>
          <w:szCs w:val="22"/>
        </w:rPr>
        <w:t xml:space="preserve"> obudowy urządzeń; </w:t>
      </w:r>
    </w:p>
    <w:p w14:paraId="18FA256D" w14:textId="2E9B9A09" w:rsidR="00082CC0" w:rsidRDefault="00082CC0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instalację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oprogramowania urządzeń na podstawie przygotowanych i dostarczonych przez Energa-Operator SA wersji instalacyjnych oprogramowania urządzeń;</w:t>
      </w:r>
    </w:p>
    <w:p w14:paraId="175BA251" w14:textId="316EB028" w:rsidR="00CF5D8A" w:rsidRDefault="00CF5D8A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kalibrację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części pomiarowej urządzenia;</w:t>
      </w:r>
    </w:p>
    <w:p w14:paraId="7AD51C12" w14:textId="72D62F3A" w:rsidR="00BC6DDC" w:rsidRPr="00BC6DDC" w:rsidRDefault="00BC6DDC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opakowanie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i spedycję finalnego produktu;</w:t>
      </w:r>
    </w:p>
    <w:p w14:paraId="1DDEBE81" w14:textId="77777777" w:rsidR="00BC6DDC" w:rsidRDefault="00082CC0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kompleksowe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przetestowanie wyprodukowanych urządzeń w oparciu o procedury testowe stosowane przez producenta oraz dodatkowe procedury testowe przekazane przez Energa – Operator SA</w:t>
      </w:r>
      <w:r w:rsidR="00BC6DDC">
        <w:rPr>
          <w:rFonts w:asciiTheme="majorHAnsi" w:hAnsiTheme="majorHAnsi" w:cs="Arial"/>
          <w:sz w:val="22"/>
          <w:szCs w:val="22"/>
        </w:rPr>
        <w:t>;</w:t>
      </w:r>
    </w:p>
    <w:p w14:paraId="73033D3E" w14:textId="7AB1D806" w:rsidR="00386AC4" w:rsidRPr="001F6B22" w:rsidRDefault="0071718E" w:rsidP="00C21192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udzielenie</w:t>
      </w:r>
      <w:proofErr w:type="gramEnd"/>
      <w:r w:rsidR="00BC6DDC">
        <w:rPr>
          <w:rFonts w:asciiTheme="majorHAnsi" w:hAnsiTheme="majorHAnsi" w:cs="Arial"/>
          <w:sz w:val="22"/>
          <w:szCs w:val="22"/>
        </w:rPr>
        <w:t xml:space="preserve"> gwarancji.</w:t>
      </w:r>
    </w:p>
    <w:p w14:paraId="63068C12" w14:textId="77777777" w:rsidR="00082CC0" w:rsidRPr="001F6B22" w:rsidRDefault="00082CC0" w:rsidP="00C21192">
      <w:pPr>
        <w:pStyle w:val="Akapitzlist"/>
        <w:spacing w:after="120" w:line="280" w:lineRule="atLeast"/>
        <w:ind w:left="360"/>
        <w:jc w:val="both"/>
        <w:rPr>
          <w:rFonts w:asciiTheme="majorHAnsi" w:hAnsiTheme="majorHAnsi" w:cs="Arial"/>
          <w:sz w:val="22"/>
          <w:szCs w:val="22"/>
        </w:rPr>
      </w:pPr>
    </w:p>
    <w:p w14:paraId="286DC83C" w14:textId="47CE79B6" w:rsidR="00082CC0" w:rsidRPr="001F6B22" w:rsidRDefault="00082CC0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W trakcie </w:t>
      </w:r>
      <w:r w:rsidR="0071718E">
        <w:rPr>
          <w:rFonts w:asciiTheme="majorHAnsi" w:hAnsiTheme="majorHAnsi" w:cs="Arial"/>
          <w:sz w:val="22"/>
          <w:szCs w:val="22"/>
        </w:rPr>
        <w:t>d</w:t>
      </w:r>
      <w:r w:rsidRPr="001F6B22">
        <w:rPr>
          <w:rFonts w:asciiTheme="majorHAnsi" w:hAnsiTheme="majorHAnsi" w:cs="Arial"/>
          <w:sz w:val="22"/>
          <w:szCs w:val="22"/>
        </w:rPr>
        <w:t xml:space="preserve">ialogu </w:t>
      </w:r>
      <w:r w:rsidR="0071718E">
        <w:rPr>
          <w:rFonts w:asciiTheme="majorHAnsi" w:hAnsiTheme="majorHAnsi" w:cs="Arial"/>
          <w:sz w:val="22"/>
          <w:szCs w:val="22"/>
        </w:rPr>
        <w:t>t</w:t>
      </w:r>
      <w:r w:rsidRPr="001F6B22">
        <w:rPr>
          <w:rFonts w:asciiTheme="majorHAnsi" w:hAnsiTheme="majorHAnsi" w:cs="Arial"/>
          <w:sz w:val="22"/>
          <w:szCs w:val="22"/>
        </w:rPr>
        <w:t>echnicznego Energa-Operator SA planuje poznać oczekiwania potencjalnych wykona</w:t>
      </w:r>
      <w:r w:rsidRPr="001F6B22">
        <w:rPr>
          <w:rFonts w:asciiTheme="majorHAnsi" w:hAnsiTheme="majorHAnsi" w:cs="Arial"/>
          <w:sz w:val="22"/>
          <w:szCs w:val="22"/>
        </w:rPr>
        <w:t>w</w:t>
      </w:r>
      <w:r w:rsidRPr="001F6B22">
        <w:rPr>
          <w:rFonts w:asciiTheme="majorHAnsi" w:hAnsiTheme="majorHAnsi" w:cs="Arial"/>
          <w:sz w:val="22"/>
          <w:szCs w:val="22"/>
        </w:rPr>
        <w:t>ców, możliwych przyszłych uczestników przetargu oraz uzyskać dane i informacje w zakresie:</w:t>
      </w:r>
    </w:p>
    <w:p w14:paraId="301261D5" w14:textId="080BFDA0" w:rsidR="00082CC0" w:rsidRPr="001F6B22" w:rsidRDefault="00082CC0" w:rsidP="00C21192">
      <w:pPr>
        <w:pStyle w:val="Akapitzlist"/>
        <w:numPr>
          <w:ilvl w:val="0"/>
          <w:numId w:val="145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pozyskania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informacji niezbędnych do wszczęcia postępowania, opracowania dokumentacji postęp</w:t>
      </w:r>
      <w:r w:rsidRPr="001F6B22">
        <w:rPr>
          <w:rFonts w:asciiTheme="majorHAnsi" w:hAnsiTheme="majorHAnsi" w:cs="Arial"/>
          <w:sz w:val="22"/>
          <w:szCs w:val="22"/>
        </w:rPr>
        <w:t>o</w:t>
      </w:r>
      <w:r w:rsidRPr="001F6B22">
        <w:rPr>
          <w:rFonts w:asciiTheme="majorHAnsi" w:hAnsiTheme="majorHAnsi" w:cs="Arial"/>
          <w:sz w:val="22"/>
          <w:szCs w:val="22"/>
        </w:rPr>
        <w:t>wania i postanowień umowy (w szczególności wiedzy o koniecznych, z punktu widzenia wykonawców, elementach opisu przedmiotu zamówienia),</w:t>
      </w:r>
    </w:p>
    <w:p w14:paraId="4C3FEFDC" w14:textId="31DF62A8" w:rsidR="00082CC0" w:rsidRPr="001F6B22" w:rsidRDefault="00082CC0" w:rsidP="00C21192">
      <w:pPr>
        <w:pStyle w:val="Akapitzlist"/>
        <w:numPr>
          <w:ilvl w:val="0"/>
          <w:numId w:val="145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skonfrontowanie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potrzeb Energa – Operator SA z możliwościami ich realizacji przez rynek potencja</w:t>
      </w:r>
      <w:r w:rsidRPr="001F6B22">
        <w:rPr>
          <w:rFonts w:asciiTheme="majorHAnsi" w:hAnsiTheme="majorHAnsi" w:cs="Arial"/>
          <w:sz w:val="22"/>
          <w:szCs w:val="22"/>
        </w:rPr>
        <w:t>l</w:t>
      </w:r>
      <w:r w:rsidRPr="001F6B22">
        <w:rPr>
          <w:rFonts w:asciiTheme="majorHAnsi" w:hAnsiTheme="majorHAnsi" w:cs="Arial"/>
          <w:sz w:val="22"/>
          <w:szCs w:val="22"/>
        </w:rPr>
        <w:t>nych wykonawców,</w:t>
      </w:r>
    </w:p>
    <w:p w14:paraId="4BE1AFB3" w14:textId="61D88931" w:rsidR="00082CC0" w:rsidRPr="001F6B22" w:rsidRDefault="00082CC0" w:rsidP="00C21192">
      <w:pPr>
        <w:pStyle w:val="Akapitzlist"/>
        <w:numPr>
          <w:ilvl w:val="0"/>
          <w:numId w:val="145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określenie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czynników wpływających na treść oraz wartość składanych ofert,</w:t>
      </w:r>
    </w:p>
    <w:p w14:paraId="2C1E4BA2" w14:textId="5A25C983" w:rsidR="00082CC0" w:rsidRPr="001F6B22" w:rsidRDefault="00082CC0" w:rsidP="00C21192">
      <w:pPr>
        <w:pStyle w:val="Akapitzlist"/>
        <w:numPr>
          <w:ilvl w:val="0"/>
          <w:numId w:val="145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określenie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czynników wpływających na termin i koszty wykonania zamówienia,</w:t>
      </w:r>
    </w:p>
    <w:p w14:paraId="5E516E2E" w14:textId="6FBF8527" w:rsidR="00386AC4" w:rsidRDefault="00082CC0" w:rsidP="00C21192">
      <w:pPr>
        <w:pStyle w:val="Akapitzlist"/>
        <w:numPr>
          <w:ilvl w:val="0"/>
          <w:numId w:val="145"/>
        </w:num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lastRenderedPageBreak/>
        <w:t>określenie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zakresu niezbędnej dokumentacji projektowej, której przekazanie na etapie prowadzonego przetargu jest konieczne celem prawidłowego oszacowania wartości ofert. </w:t>
      </w:r>
    </w:p>
    <w:p w14:paraId="00B5E006" w14:textId="77777777" w:rsidR="003E4760" w:rsidRPr="001F6B22" w:rsidRDefault="003E4760" w:rsidP="00C21192">
      <w:pPr>
        <w:pStyle w:val="Akapitzlist"/>
        <w:spacing w:after="120" w:line="280" w:lineRule="atLeast"/>
        <w:ind w:left="360"/>
        <w:jc w:val="both"/>
        <w:rPr>
          <w:rFonts w:asciiTheme="majorHAnsi" w:hAnsiTheme="majorHAnsi" w:cs="Arial"/>
          <w:sz w:val="22"/>
          <w:szCs w:val="22"/>
        </w:rPr>
      </w:pPr>
    </w:p>
    <w:p w14:paraId="46702A96" w14:textId="7085A32B" w:rsidR="00082CC0" w:rsidRPr="001F6B22" w:rsidRDefault="004510F2" w:rsidP="00C21192">
      <w:pPr>
        <w:spacing w:after="120" w:line="280" w:lineRule="atLeast"/>
        <w:jc w:val="both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 xml:space="preserve">III. Sposób </w:t>
      </w:r>
      <w:r w:rsidR="0016695A" w:rsidRPr="001F6B22">
        <w:rPr>
          <w:rFonts w:asciiTheme="majorHAnsi" w:hAnsiTheme="majorHAnsi" w:cs="Arial"/>
          <w:b/>
          <w:sz w:val="22"/>
          <w:szCs w:val="22"/>
        </w:rPr>
        <w:t>przygotowania odpowiedzi.</w:t>
      </w:r>
    </w:p>
    <w:p w14:paraId="64B3091E" w14:textId="57202537" w:rsidR="00386AC4" w:rsidRPr="001F6B22" w:rsidRDefault="0016695A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Energa – Operator SA zakłada, że doszczegółowienie oczekiwań nastąpi w pierwszej kolejności w drodze bezpośredniego spotkania uczestników </w:t>
      </w:r>
      <w:r w:rsidR="0071718E">
        <w:rPr>
          <w:rFonts w:asciiTheme="majorHAnsi" w:hAnsiTheme="majorHAnsi" w:cs="Arial"/>
          <w:sz w:val="22"/>
          <w:szCs w:val="22"/>
        </w:rPr>
        <w:t>d</w:t>
      </w:r>
      <w:r w:rsidRPr="001F6B22">
        <w:rPr>
          <w:rFonts w:asciiTheme="majorHAnsi" w:hAnsiTheme="majorHAnsi" w:cs="Arial"/>
          <w:sz w:val="22"/>
          <w:szCs w:val="22"/>
        </w:rPr>
        <w:t>ialogu z przedstawicielami Energa-Operator SA, a następnie w oparciu o wyniki konsultacji uczestnicy przedstawią szczegółowe pisemne informacje w zakresie sprec</w:t>
      </w:r>
      <w:r w:rsidRPr="001F6B22">
        <w:rPr>
          <w:rFonts w:asciiTheme="majorHAnsi" w:hAnsiTheme="majorHAnsi" w:cs="Arial"/>
          <w:sz w:val="22"/>
          <w:szCs w:val="22"/>
        </w:rPr>
        <w:t>y</w:t>
      </w:r>
      <w:r w:rsidRPr="001F6B22">
        <w:rPr>
          <w:rFonts w:asciiTheme="majorHAnsi" w:hAnsiTheme="majorHAnsi" w:cs="Arial"/>
          <w:sz w:val="22"/>
          <w:szCs w:val="22"/>
        </w:rPr>
        <w:t xml:space="preserve">zowanym w toku Dialogu. </w:t>
      </w:r>
    </w:p>
    <w:p w14:paraId="7F0B5A3B" w14:textId="596A8CCA" w:rsidR="0016695A" w:rsidRPr="001F6B22" w:rsidRDefault="0016695A" w:rsidP="00C21192">
      <w:pPr>
        <w:spacing w:after="12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Energa – Operator SA zakłada, że część materiałów składających się na projekt techniczny będzie mogła przekazać uczestnikom </w:t>
      </w:r>
      <w:r w:rsidR="0071718E">
        <w:rPr>
          <w:rFonts w:asciiTheme="majorHAnsi" w:hAnsiTheme="majorHAnsi" w:cs="Arial"/>
          <w:sz w:val="22"/>
          <w:szCs w:val="22"/>
        </w:rPr>
        <w:t>d</w:t>
      </w:r>
      <w:r w:rsidRPr="001F6B22">
        <w:rPr>
          <w:rFonts w:asciiTheme="majorHAnsi" w:hAnsiTheme="majorHAnsi" w:cs="Arial"/>
          <w:sz w:val="22"/>
          <w:szCs w:val="22"/>
        </w:rPr>
        <w:t xml:space="preserve">ialogu </w:t>
      </w:r>
      <w:r w:rsidR="0071718E">
        <w:rPr>
          <w:rFonts w:asciiTheme="majorHAnsi" w:hAnsiTheme="majorHAnsi" w:cs="Arial"/>
          <w:sz w:val="22"/>
          <w:szCs w:val="22"/>
        </w:rPr>
        <w:t>t</w:t>
      </w:r>
      <w:r w:rsidRPr="001F6B22">
        <w:rPr>
          <w:rFonts w:asciiTheme="majorHAnsi" w:hAnsiTheme="majorHAnsi" w:cs="Arial"/>
          <w:sz w:val="22"/>
          <w:szCs w:val="22"/>
        </w:rPr>
        <w:t xml:space="preserve">echnicznego na podpisaniu przez nich umowy NDA zgodnie z załączonym do ogłoszenia wzorem. Jednak celem przekazania potencjalnym uczestnikom </w:t>
      </w:r>
      <w:r w:rsidR="0071718E">
        <w:rPr>
          <w:rFonts w:asciiTheme="majorHAnsi" w:hAnsiTheme="majorHAnsi" w:cs="Arial"/>
          <w:sz w:val="22"/>
          <w:szCs w:val="22"/>
        </w:rPr>
        <w:t>d</w:t>
      </w:r>
      <w:r w:rsidRPr="001F6B22">
        <w:rPr>
          <w:rFonts w:asciiTheme="majorHAnsi" w:hAnsiTheme="majorHAnsi" w:cs="Arial"/>
          <w:sz w:val="22"/>
          <w:szCs w:val="22"/>
        </w:rPr>
        <w:t>ialogu maksimum inform</w:t>
      </w:r>
      <w:r w:rsidRPr="001F6B22">
        <w:rPr>
          <w:rFonts w:asciiTheme="majorHAnsi" w:hAnsiTheme="majorHAnsi" w:cs="Arial"/>
          <w:sz w:val="22"/>
          <w:szCs w:val="22"/>
        </w:rPr>
        <w:t>a</w:t>
      </w:r>
      <w:r w:rsidRPr="001F6B22">
        <w:rPr>
          <w:rFonts w:asciiTheme="majorHAnsi" w:hAnsiTheme="majorHAnsi" w:cs="Arial"/>
          <w:sz w:val="22"/>
          <w:szCs w:val="22"/>
        </w:rPr>
        <w:t xml:space="preserve">cji, poniżej przedstawiono założenia oraz wymagania, na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>bazie których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opracowany został projekt tec</w:t>
      </w:r>
      <w:r w:rsidRPr="001F6B22">
        <w:rPr>
          <w:rFonts w:asciiTheme="majorHAnsi" w:hAnsiTheme="majorHAnsi" w:cs="Arial"/>
          <w:sz w:val="22"/>
          <w:szCs w:val="22"/>
        </w:rPr>
        <w:t>h</w:t>
      </w:r>
      <w:r w:rsidRPr="001F6B22">
        <w:rPr>
          <w:rFonts w:asciiTheme="majorHAnsi" w:hAnsiTheme="majorHAnsi" w:cs="Arial"/>
          <w:sz w:val="22"/>
          <w:szCs w:val="22"/>
        </w:rPr>
        <w:t xml:space="preserve">niczny Zestawu </w:t>
      </w:r>
      <w:r w:rsidR="00492146" w:rsidRPr="001F6B22">
        <w:rPr>
          <w:rFonts w:asciiTheme="majorHAnsi" w:hAnsiTheme="majorHAnsi" w:cs="Arial"/>
          <w:sz w:val="22"/>
          <w:szCs w:val="22"/>
        </w:rPr>
        <w:t>Koncentratorowo</w:t>
      </w:r>
      <w:r w:rsidRPr="001F6B22">
        <w:rPr>
          <w:rFonts w:asciiTheme="majorHAnsi" w:hAnsiTheme="majorHAnsi" w:cs="Arial"/>
          <w:sz w:val="22"/>
          <w:szCs w:val="22"/>
        </w:rPr>
        <w:t xml:space="preserve"> – Bilansującego:</w:t>
      </w:r>
    </w:p>
    <w:p w14:paraId="4371AE72" w14:textId="671BF494" w:rsidR="00386AC4" w:rsidRPr="001F6B22" w:rsidRDefault="00082CC0" w:rsidP="00C21192">
      <w:pPr>
        <w:pStyle w:val="Akapitzlist"/>
        <w:numPr>
          <w:ilvl w:val="0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O</w:t>
      </w:r>
      <w:r w:rsidR="00386AC4" w:rsidRPr="001F6B22">
        <w:rPr>
          <w:rFonts w:asciiTheme="majorHAnsi" w:hAnsiTheme="majorHAnsi" w:cs="Arial"/>
          <w:b/>
          <w:sz w:val="22"/>
          <w:szCs w:val="22"/>
        </w:rPr>
        <w:t xml:space="preserve">pracowanie projektu technicznego części </w:t>
      </w:r>
      <w:proofErr w:type="spellStart"/>
      <w:r w:rsidR="00386AC4" w:rsidRPr="001F6B22">
        <w:rPr>
          <w:rFonts w:asciiTheme="majorHAnsi" w:hAnsiTheme="majorHAnsi" w:cs="Arial"/>
          <w:b/>
          <w:sz w:val="22"/>
          <w:szCs w:val="22"/>
        </w:rPr>
        <w:t>mechaniczno</w:t>
      </w:r>
      <w:proofErr w:type="spellEnd"/>
      <w:r w:rsidR="00386AC4" w:rsidRPr="001F6B22">
        <w:rPr>
          <w:rFonts w:asciiTheme="majorHAnsi" w:hAnsiTheme="majorHAnsi" w:cs="Arial"/>
          <w:b/>
          <w:sz w:val="22"/>
          <w:szCs w:val="22"/>
        </w:rPr>
        <w:t xml:space="preserve"> – elektronicznej Zestawu Koncentrat</w:t>
      </w:r>
      <w:r w:rsidR="00386AC4" w:rsidRPr="001F6B22">
        <w:rPr>
          <w:rFonts w:asciiTheme="majorHAnsi" w:hAnsiTheme="majorHAnsi" w:cs="Arial"/>
          <w:b/>
          <w:sz w:val="22"/>
          <w:szCs w:val="22"/>
        </w:rPr>
        <w:t>o</w:t>
      </w:r>
      <w:r w:rsidR="00386AC4" w:rsidRPr="001F6B22">
        <w:rPr>
          <w:rFonts w:asciiTheme="majorHAnsi" w:hAnsiTheme="majorHAnsi" w:cs="Arial"/>
          <w:b/>
          <w:sz w:val="22"/>
          <w:szCs w:val="22"/>
        </w:rPr>
        <w:t>rowo Bilansującego;</w:t>
      </w:r>
    </w:p>
    <w:p w14:paraId="7B3E307D" w14:textId="77F093C3" w:rsidR="00386AC4" w:rsidRPr="001F6B22" w:rsidRDefault="00386AC4" w:rsidP="00C21192">
      <w:pPr>
        <w:pStyle w:val="Akapitzlist"/>
        <w:numPr>
          <w:ilvl w:val="1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Zestaw Koncentratorowo Bilansujący, którego projekt techniczny miał stworzyć wykonawca m</w:t>
      </w:r>
      <w:r w:rsidRPr="001F6B22">
        <w:rPr>
          <w:rFonts w:asciiTheme="majorHAnsi" w:hAnsiTheme="majorHAnsi" w:cs="Arial"/>
          <w:sz w:val="22"/>
          <w:szCs w:val="22"/>
        </w:rPr>
        <w:t>u</w:t>
      </w:r>
      <w:r w:rsidRPr="001F6B22">
        <w:rPr>
          <w:rFonts w:asciiTheme="majorHAnsi" w:hAnsiTheme="majorHAnsi" w:cs="Arial"/>
          <w:sz w:val="22"/>
          <w:szCs w:val="22"/>
        </w:rPr>
        <w:t xml:space="preserve">siał pozwolić na spełnienie wszystkich wymagań funkcjonalnych opisanych w załączniku nr </w:t>
      </w:r>
      <w:r w:rsidR="003F77A4" w:rsidRPr="001F6B22">
        <w:rPr>
          <w:rFonts w:asciiTheme="majorHAnsi" w:hAnsiTheme="majorHAnsi" w:cs="Arial"/>
          <w:sz w:val="22"/>
          <w:szCs w:val="22"/>
        </w:rPr>
        <w:t>A</w:t>
      </w:r>
      <w:r w:rsidRPr="001F6B22">
        <w:rPr>
          <w:rFonts w:asciiTheme="majorHAnsi" w:hAnsiTheme="majorHAnsi" w:cs="Arial"/>
          <w:sz w:val="22"/>
          <w:szCs w:val="22"/>
        </w:rPr>
        <w:t xml:space="preserve"> do niniejszego </w:t>
      </w:r>
      <w:r w:rsidR="003F77A4" w:rsidRPr="001F6B22">
        <w:rPr>
          <w:rFonts w:asciiTheme="majorHAnsi" w:hAnsiTheme="majorHAnsi" w:cs="Arial"/>
          <w:sz w:val="22"/>
          <w:szCs w:val="22"/>
        </w:rPr>
        <w:t>dokumentu</w:t>
      </w:r>
      <w:r w:rsidRPr="001F6B22">
        <w:rPr>
          <w:rFonts w:asciiTheme="majorHAnsi" w:hAnsiTheme="majorHAnsi" w:cs="Arial"/>
          <w:sz w:val="22"/>
          <w:szCs w:val="22"/>
        </w:rPr>
        <w:t>. Wykonawca b</w:t>
      </w:r>
      <w:r w:rsidR="003F77A4" w:rsidRPr="001F6B22">
        <w:rPr>
          <w:rFonts w:asciiTheme="majorHAnsi" w:hAnsiTheme="majorHAnsi" w:cs="Arial"/>
          <w:sz w:val="22"/>
          <w:szCs w:val="22"/>
        </w:rPr>
        <w:t>ył</w:t>
      </w:r>
      <w:r w:rsidRPr="001F6B22">
        <w:rPr>
          <w:rFonts w:asciiTheme="majorHAnsi" w:hAnsiTheme="majorHAnsi" w:cs="Arial"/>
          <w:sz w:val="22"/>
          <w:szCs w:val="22"/>
        </w:rPr>
        <w:t xml:space="preserve"> odpowiedzialny za spełnienie tych wymagań od strony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mechaniczno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- elektronicznej urządzenia, a w zakresie oprogramowania – wyłącznie w zakresie wynikającym z </w:t>
      </w:r>
      <w:r w:rsidR="003F77A4" w:rsidRPr="001F6B22">
        <w:rPr>
          <w:rFonts w:asciiTheme="majorHAnsi" w:hAnsiTheme="majorHAnsi" w:cs="Arial"/>
          <w:sz w:val="22"/>
          <w:szCs w:val="22"/>
        </w:rPr>
        <w:t>pkt 2) niniejszego dokumentu</w:t>
      </w:r>
      <w:r w:rsidRPr="001F6B22">
        <w:rPr>
          <w:rFonts w:asciiTheme="majorHAnsi" w:hAnsiTheme="majorHAnsi" w:cs="Arial"/>
          <w:sz w:val="22"/>
          <w:szCs w:val="22"/>
        </w:rPr>
        <w:t xml:space="preserve">. </w:t>
      </w:r>
    </w:p>
    <w:p w14:paraId="1BD72CE4" w14:textId="328DA005" w:rsidR="00386AC4" w:rsidRPr="001F6B22" w:rsidRDefault="00386AC4" w:rsidP="00C21192">
      <w:pPr>
        <w:pStyle w:val="Akapitzlist"/>
        <w:numPr>
          <w:ilvl w:val="1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Energa-Operator SA, we współpracy z autorem projektu technicznego oraz autorem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>oprogram</w:t>
      </w:r>
      <w:r w:rsidRPr="001F6B22">
        <w:rPr>
          <w:rFonts w:asciiTheme="majorHAnsi" w:hAnsiTheme="majorHAnsi" w:cs="Arial"/>
          <w:sz w:val="22"/>
          <w:szCs w:val="22"/>
        </w:rPr>
        <w:t>o</w:t>
      </w:r>
      <w:r w:rsidRPr="001F6B22">
        <w:rPr>
          <w:rFonts w:asciiTheme="majorHAnsi" w:hAnsiTheme="majorHAnsi" w:cs="Arial"/>
          <w:sz w:val="22"/>
          <w:szCs w:val="22"/>
        </w:rPr>
        <w:t>wania do którego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Energa-Operator SA posiada prawa współwłasności, zapewni</w:t>
      </w:r>
      <w:r w:rsidR="003F77A4" w:rsidRPr="001F6B22">
        <w:rPr>
          <w:rFonts w:asciiTheme="majorHAnsi" w:hAnsiTheme="majorHAnsi" w:cs="Arial"/>
          <w:sz w:val="22"/>
          <w:szCs w:val="22"/>
        </w:rPr>
        <w:t>a</w:t>
      </w:r>
      <w:r w:rsidRPr="001F6B22">
        <w:rPr>
          <w:rFonts w:asciiTheme="majorHAnsi" w:hAnsiTheme="majorHAnsi" w:cs="Arial"/>
          <w:sz w:val="22"/>
          <w:szCs w:val="22"/>
        </w:rPr>
        <w:t xml:space="preserve"> dostosowanie oprogramowania do platformy sprzętowej, będącej przedmiotem projektu. </w:t>
      </w:r>
    </w:p>
    <w:p w14:paraId="28E1D583" w14:textId="146150BB" w:rsidR="00386AC4" w:rsidRPr="001F6B22" w:rsidRDefault="00386AC4" w:rsidP="00C21192">
      <w:pPr>
        <w:pStyle w:val="Akapitzlist"/>
        <w:numPr>
          <w:ilvl w:val="1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Efektem prac </w:t>
      </w:r>
      <w:r w:rsidR="003F77A4" w:rsidRPr="001F6B22">
        <w:rPr>
          <w:rFonts w:asciiTheme="majorHAnsi" w:hAnsiTheme="majorHAnsi" w:cs="Arial"/>
          <w:sz w:val="22"/>
          <w:szCs w:val="22"/>
        </w:rPr>
        <w:t>był</w:t>
      </w:r>
      <w:r w:rsidRPr="001F6B22">
        <w:rPr>
          <w:rFonts w:asciiTheme="majorHAnsi" w:hAnsiTheme="majorHAnsi" w:cs="Arial"/>
          <w:sz w:val="22"/>
          <w:szCs w:val="22"/>
        </w:rPr>
        <w:t xml:space="preserve"> projekt techniczny, pozwalający na produkcję gotowych urządzeń przez prof</w:t>
      </w:r>
      <w:r w:rsidRPr="001F6B22">
        <w:rPr>
          <w:rFonts w:asciiTheme="majorHAnsi" w:hAnsiTheme="majorHAnsi" w:cs="Arial"/>
          <w:sz w:val="22"/>
          <w:szCs w:val="22"/>
        </w:rPr>
        <w:t>e</w:t>
      </w:r>
      <w:r w:rsidRPr="001F6B22">
        <w:rPr>
          <w:rFonts w:asciiTheme="majorHAnsi" w:hAnsiTheme="majorHAnsi" w:cs="Arial"/>
          <w:sz w:val="22"/>
          <w:szCs w:val="22"/>
        </w:rPr>
        <w:t>sjonalne podmioty specjalizujące się w produkcji urządzeń elektronicznych na podstawie proje</w:t>
      </w:r>
      <w:r w:rsidRPr="001F6B22">
        <w:rPr>
          <w:rFonts w:asciiTheme="majorHAnsi" w:hAnsiTheme="majorHAnsi" w:cs="Arial"/>
          <w:sz w:val="22"/>
          <w:szCs w:val="22"/>
        </w:rPr>
        <w:t>k</w:t>
      </w:r>
      <w:r w:rsidRPr="001F6B22">
        <w:rPr>
          <w:rFonts w:asciiTheme="majorHAnsi" w:hAnsiTheme="majorHAnsi" w:cs="Arial"/>
          <w:sz w:val="22"/>
          <w:szCs w:val="22"/>
        </w:rPr>
        <w:t>tów.</w:t>
      </w:r>
    </w:p>
    <w:p w14:paraId="7AC8BC48" w14:textId="003AAC97" w:rsidR="00386AC4" w:rsidRPr="001F6B22" w:rsidRDefault="00386AC4" w:rsidP="00C21192">
      <w:pPr>
        <w:pStyle w:val="Akapitzlist"/>
        <w:numPr>
          <w:ilvl w:val="1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Aby zapewnić zgodność produkowanych na podstawie projektu urządzeń z oprogramowaniem p</w:t>
      </w:r>
      <w:r w:rsidRPr="001F6B22">
        <w:rPr>
          <w:rFonts w:asciiTheme="majorHAnsi" w:hAnsiTheme="majorHAnsi" w:cs="Arial"/>
          <w:sz w:val="22"/>
          <w:szCs w:val="22"/>
        </w:rPr>
        <w:t>o</w:t>
      </w:r>
      <w:r w:rsidRPr="001F6B22">
        <w:rPr>
          <w:rFonts w:asciiTheme="majorHAnsi" w:hAnsiTheme="majorHAnsi" w:cs="Arial"/>
          <w:sz w:val="22"/>
          <w:szCs w:val="22"/>
        </w:rPr>
        <w:t>siadanym przez Energa-Operator SA, projekt techniczny i stworzone na</w:t>
      </w:r>
      <w:r w:rsidR="003F77A4" w:rsidRPr="001F6B22">
        <w:rPr>
          <w:rFonts w:asciiTheme="majorHAnsi" w:hAnsiTheme="majorHAnsi" w:cs="Arial"/>
          <w:sz w:val="22"/>
          <w:szCs w:val="22"/>
        </w:rPr>
        <w:t xml:space="preserve"> jego podstawie urządzenia musiały</w:t>
      </w:r>
      <w:r w:rsidRPr="001F6B22">
        <w:rPr>
          <w:rFonts w:asciiTheme="majorHAnsi" w:hAnsiTheme="majorHAnsi" w:cs="Arial"/>
          <w:sz w:val="22"/>
          <w:szCs w:val="22"/>
        </w:rPr>
        <w:t xml:space="preserve"> spełniać wym</w:t>
      </w:r>
      <w:r w:rsidR="003F77A4" w:rsidRPr="001F6B22">
        <w:rPr>
          <w:rFonts w:asciiTheme="majorHAnsi" w:hAnsiTheme="majorHAnsi" w:cs="Arial"/>
          <w:sz w:val="22"/>
          <w:szCs w:val="22"/>
        </w:rPr>
        <w:t>agania opisane w załączniku nr B</w:t>
      </w:r>
      <w:r w:rsidRPr="001F6B22">
        <w:rPr>
          <w:rFonts w:asciiTheme="majorHAnsi" w:hAnsiTheme="majorHAnsi" w:cs="Arial"/>
          <w:sz w:val="22"/>
          <w:szCs w:val="22"/>
        </w:rPr>
        <w:t xml:space="preserve"> do niniejszego </w:t>
      </w:r>
      <w:r w:rsidR="003F77A4" w:rsidRPr="001F6B22">
        <w:rPr>
          <w:rFonts w:asciiTheme="majorHAnsi" w:hAnsiTheme="majorHAnsi" w:cs="Arial"/>
          <w:sz w:val="22"/>
          <w:szCs w:val="22"/>
        </w:rPr>
        <w:t>dokumentu</w:t>
      </w:r>
      <w:r w:rsidRPr="001F6B22">
        <w:rPr>
          <w:rFonts w:asciiTheme="majorHAnsi" w:hAnsiTheme="majorHAnsi" w:cs="Arial"/>
          <w:sz w:val="22"/>
          <w:szCs w:val="22"/>
        </w:rPr>
        <w:t xml:space="preserve">. </w:t>
      </w:r>
    </w:p>
    <w:p w14:paraId="0D018046" w14:textId="55FA7001" w:rsidR="00386AC4" w:rsidRPr="001F6B22" w:rsidRDefault="00B751B0" w:rsidP="00C21192">
      <w:pPr>
        <w:pStyle w:val="Akapitzlist"/>
        <w:numPr>
          <w:ilvl w:val="0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O</w:t>
      </w:r>
      <w:r w:rsidR="00386AC4" w:rsidRPr="001F6B22">
        <w:rPr>
          <w:rFonts w:asciiTheme="majorHAnsi" w:hAnsiTheme="majorHAnsi" w:cs="Arial"/>
          <w:b/>
          <w:sz w:val="22"/>
          <w:szCs w:val="22"/>
        </w:rPr>
        <w:t>pracowanie i sprzedaż Energa-Operator SA</w:t>
      </w:r>
      <w:r w:rsidR="00386AC4" w:rsidRPr="001F6B22">
        <w:rPr>
          <w:rFonts w:asciiTheme="majorHAnsi" w:hAnsiTheme="majorHAnsi" w:cs="Arial"/>
          <w:sz w:val="22"/>
          <w:szCs w:val="22"/>
        </w:rPr>
        <w:t>:</w:t>
      </w:r>
    </w:p>
    <w:p w14:paraId="1E780A28" w14:textId="6246350F" w:rsidR="00386AC4" w:rsidRPr="001F6B22" w:rsidRDefault="00386AC4" w:rsidP="00C21192">
      <w:pPr>
        <w:spacing w:after="120" w:line="280" w:lineRule="atLeast"/>
        <w:ind w:left="36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udziału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w autorskich prawach majątkowych do opracowanego oprogramowania odpowiedzialnego za warstwę fizyczną obsługi </w:t>
      </w:r>
      <w:r w:rsidR="00A22D22">
        <w:rPr>
          <w:rFonts w:asciiTheme="majorHAnsi" w:hAnsiTheme="majorHAnsi" w:cs="Arial"/>
          <w:sz w:val="22"/>
          <w:szCs w:val="22"/>
        </w:rPr>
        <w:t>PRIME oraz realizację pomiarów.</w:t>
      </w:r>
    </w:p>
    <w:p w14:paraId="3D5ACF0E" w14:textId="056C9832" w:rsidR="00386AC4" w:rsidRPr="001F6B22" w:rsidRDefault="00B751B0" w:rsidP="00C21192">
      <w:pPr>
        <w:pStyle w:val="Akapitzlist"/>
        <w:numPr>
          <w:ilvl w:val="0"/>
          <w:numId w:val="1"/>
        </w:numPr>
        <w:spacing w:after="120" w:line="280" w:lineRule="atLeast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  <w:u w:val="single"/>
        </w:rPr>
        <w:t>Projekt nie obejmował</w:t>
      </w:r>
      <w:r w:rsidRPr="001F6B22">
        <w:rPr>
          <w:rFonts w:asciiTheme="majorHAnsi" w:hAnsiTheme="majorHAnsi" w:cs="Arial"/>
          <w:sz w:val="22"/>
          <w:szCs w:val="22"/>
        </w:rPr>
        <w:t xml:space="preserve"> wykonania i przekazania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Energa-Operator SA projektu formy d</w:t>
      </w:r>
      <w:r w:rsidRPr="001F6B22">
        <w:rPr>
          <w:rFonts w:asciiTheme="majorHAnsi" w:hAnsiTheme="majorHAnsi" w:cs="Arial"/>
          <w:sz w:val="22"/>
          <w:szCs w:val="22"/>
        </w:rPr>
        <w:t>o odlewania obudów urządzeń ani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samej formy</w:t>
      </w:r>
      <w:r w:rsidRPr="001F6B22">
        <w:rPr>
          <w:rFonts w:asciiTheme="majorHAnsi" w:hAnsiTheme="majorHAnsi" w:cs="Arial"/>
          <w:sz w:val="22"/>
          <w:szCs w:val="22"/>
        </w:rPr>
        <w:t>. Jednak zgodnie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z projektem technicznym </w:t>
      </w:r>
      <w:r w:rsidRPr="001F6B22">
        <w:rPr>
          <w:rFonts w:asciiTheme="majorHAnsi" w:hAnsiTheme="majorHAnsi" w:cs="Arial"/>
          <w:sz w:val="22"/>
          <w:szCs w:val="22"/>
        </w:rPr>
        <w:t xml:space="preserve">należało </w:t>
      </w:r>
      <w:r w:rsidR="00386AC4" w:rsidRPr="001F6B22">
        <w:rPr>
          <w:rFonts w:asciiTheme="majorHAnsi" w:hAnsiTheme="majorHAnsi" w:cs="Arial"/>
          <w:sz w:val="22"/>
          <w:szCs w:val="22"/>
        </w:rPr>
        <w:t>uwzględni</w:t>
      </w:r>
      <w:r w:rsidRPr="001F6B22">
        <w:rPr>
          <w:rFonts w:asciiTheme="majorHAnsi" w:hAnsiTheme="majorHAnsi" w:cs="Arial"/>
          <w:sz w:val="22"/>
          <w:szCs w:val="22"/>
        </w:rPr>
        <w:t>ć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w</w:t>
      </w:r>
      <w:r w:rsidR="00386AC4" w:rsidRPr="001F6B22">
        <w:rPr>
          <w:rFonts w:asciiTheme="majorHAnsi" w:hAnsiTheme="majorHAnsi" w:cs="Arial"/>
          <w:sz w:val="22"/>
          <w:szCs w:val="22"/>
        </w:rPr>
        <w:t>y</w:t>
      </w:r>
      <w:r w:rsidR="00386AC4" w:rsidRPr="001F6B22">
        <w:rPr>
          <w:rFonts w:asciiTheme="majorHAnsi" w:hAnsiTheme="majorHAnsi" w:cs="Arial"/>
          <w:sz w:val="22"/>
          <w:szCs w:val="22"/>
        </w:rPr>
        <w:t>magania dotyczące konstrukcji i gabarytów urządzeń opisan</w:t>
      </w:r>
      <w:r w:rsidR="004510F2" w:rsidRPr="001F6B22">
        <w:rPr>
          <w:rFonts w:asciiTheme="majorHAnsi" w:hAnsiTheme="majorHAnsi" w:cs="Arial"/>
          <w:sz w:val="22"/>
          <w:szCs w:val="22"/>
        </w:rPr>
        <w:t>e w załączniku nr D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do niniejszego </w:t>
      </w:r>
      <w:r w:rsidR="004510F2" w:rsidRPr="001F6B22">
        <w:rPr>
          <w:rFonts w:asciiTheme="majorHAnsi" w:hAnsiTheme="majorHAnsi" w:cs="Arial"/>
          <w:sz w:val="22"/>
          <w:szCs w:val="22"/>
        </w:rPr>
        <w:t>dok</w:t>
      </w:r>
      <w:r w:rsidR="004510F2" w:rsidRPr="001F6B22">
        <w:rPr>
          <w:rFonts w:asciiTheme="majorHAnsi" w:hAnsiTheme="majorHAnsi" w:cs="Arial"/>
          <w:sz w:val="22"/>
          <w:szCs w:val="22"/>
        </w:rPr>
        <w:t>u</w:t>
      </w:r>
      <w:r w:rsidR="004510F2" w:rsidRPr="001F6B22">
        <w:rPr>
          <w:rFonts w:asciiTheme="majorHAnsi" w:hAnsiTheme="majorHAnsi" w:cs="Arial"/>
          <w:sz w:val="22"/>
          <w:szCs w:val="22"/>
        </w:rPr>
        <w:t>mentu</w:t>
      </w:r>
      <w:r w:rsidR="00386AC4" w:rsidRPr="001F6B22">
        <w:rPr>
          <w:rFonts w:asciiTheme="majorHAnsi" w:hAnsiTheme="majorHAnsi" w:cs="Arial"/>
          <w:sz w:val="22"/>
          <w:szCs w:val="22"/>
        </w:rPr>
        <w:t>.</w:t>
      </w:r>
    </w:p>
    <w:p w14:paraId="257B44EB" w14:textId="67A7FE84" w:rsidR="00386AC4" w:rsidRPr="001F6B22" w:rsidRDefault="004510F2" w:rsidP="00C21192">
      <w:pPr>
        <w:pStyle w:val="Akapitzlist"/>
        <w:numPr>
          <w:ilvl w:val="0"/>
          <w:numId w:val="1"/>
        </w:numPr>
        <w:spacing w:after="120" w:line="280" w:lineRule="atLeast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W</w:t>
      </w:r>
      <w:r w:rsidR="00386AC4" w:rsidRPr="001F6B22">
        <w:rPr>
          <w:rFonts w:asciiTheme="majorHAnsi" w:hAnsiTheme="majorHAnsi" w:cs="Arial"/>
          <w:b/>
          <w:sz w:val="22"/>
          <w:szCs w:val="22"/>
        </w:rPr>
        <w:t xml:space="preserve">ykonanie na podstawie opracowanego projektu technicznego 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min. </w:t>
      </w:r>
      <w:r w:rsidR="00492146">
        <w:rPr>
          <w:rFonts w:asciiTheme="majorHAnsi" w:hAnsiTheme="majorHAnsi" w:cs="Arial"/>
          <w:sz w:val="22"/>
          <w:szCs w:val="22"/>
        </w:rPr>
        <w:t>5</w:t>
      </w:r>
      <w:r w:rsidR="00386AC4" w:rsidRPr="001F6B22">
        <w:rPr>
          <w:rFonts w:asciiTheme="majorHAnsi" w:hAnsiTheme="majorHAnsi" w:cs="Arial"/>
          <w:sz w:val="22"/>
          <w:szCs w:val="22"/>
        </w:rPr>
        <w:t xml:space="preserve"> sztuk urządzeń prototyp</w:t>
      </w:r>
      <w:r w:rsidR="00386AC4" w:rsidRPr="001F6B22">
        <w:rPr>
          <w:rFonts w:asciiTheme="majorHAnsi" w:hAnsiTheme="majorHAnsi" w:cs="Arial"/>
          <w:sz w:val="22"/>
          <w:szCs w:val="22"/>
        </w:rPr>
        <w:t>o</w:t>
      </w:r>
      <w:r w:rsidR="00386AC4" w:rsidRPr="001F6B22">
        <w:rPr>
          <w:rFonts w:asciiTheme="majorHAnsi" w:hAnsiTheme="majorHAnsi" w:cs="Arial"/>
          <w:sz w:val="22"/>
          <w:szCs w:val="22"/>
        </w:rPr>
        <w:t>wych, umożliwiających weryfikację spełnienia przez zaprojektowany Zestaw Koncentratorowo Bila</w:t>
      </w:r>
      <w:r w:rsidR="00386AC4" w:rsidRPr="001F6B22">
        <w:rPr>
          <w:rFonts w:asciiTheme="majorHAnsi" w:hAnsiTheme="majorHAnsi" w:cs="Arial"/>
          <w:sz w:val="22"/>
          <w:szCs w:val="22"/>
        </w:rPr>
        <w:t>n</w:t>
      </w:r>
      <w:r w:rsidR="00386AC4" w:rsidRPr="001F6B22">
        <w:rPr>
          <w:rFonts w:asciiTheme="majorHAnsi" w:hAnsiTheme="majorHAnsi" w:cs="Arial"/>
          <w:sz w:val="22"/>
          <w:szCs w:val="22"/>
        </w:rPr>
        <w:t>sujący wymagań funkcjonalnych wskazanych w załączniku n</w:t>
      </w:r>
      <w:r w:rsidRPr="001F6B22">
        <w:rPr>
          <w:rFonts w:asciiTheme="majorHAnsi" w:hAnsiTheme="majorHAnsi" w:cs="Arial"/>
          <w:sz w:val="22"/>
          <w:szCs w:val="22"/>
        </w:rPr>
        <w:t>r A, B oraz C i D</w:t>
      </w:r>
      <w:r w:rsidR="00386AC4" w:rsidRPr="001F6B22">
        <w:rPr>
          <w:rFonts w:asciiTheme="majorHAnsi" w:hAnsiTheme="majorHAnsi" w:cs="Arial"/>
          <w:sz w:val="22"/>
          <w:szCs w:val="22"/>
        </w:rPr>
        <w:t>.</w:t>
      </w:r>
    </w:p>
    <w:p w14:paraId="124355FE" w14:textId="77777777" w:rsidR="00386AC4" w:rsidRPr="001F6B22" w:rsidRDefault="00386AC4" w:rsidP="00386AC4">
      <w:pPr>
        <w:pStyle w:val="Akapitzlist"/>
        <w:spacing w:before="240"/>
        <w:ind w:left="0"/>
        <w:contextualSpacing w:val="0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Wykaz załączników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340"/>
      </w:tblGrid>
      <w:tr w:rsidR="00386AC4" w:rsidRPr="001F6B22" w14:paraId="5F3EC062" w14:textId="77777777" w:rsidTr="003E4760">
        <w:tc>
          <w:tcPr>
            <w:tcW w:w="1276" w:type="dxa"/>
          </w:tcPr>
          <w:p w14:paraId="3C46BB4E" w14:textId="1FF183B7" w:rsidR="00386AC4" w:rsidRPr="001F6B22" w:rsidRDefault="003E4760" w:rsidP="00082CC0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Załącznik</w:t>
            </w:r>
            <w:r w:rsidR="0016695A" w:rsidRPr="001F6B22">
              <w:rPr>
                <w:rFonts w:asciiTheme="majorHAnsi" w:hAnsiTheme="majorHAnsi" w:cs="Arial"/>
                <w:szCs w:val="22"/>
              </w:rPr>
              <w:t xml:space="preserve"> A</w:t>
            </w:r>
          </w:p>
        </w:tc>
        <w:tc>
          <w:tcPr>
            <w:tcW w:w="284" w:type="dxa"/>
          </w:tcPr>
          <w:p w14:paraId="008C6480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-</w:t>
            </w:r>
          </w:p>
        </w:tc>
        <w:tc>
          <w:tcPr>
            <w:tcW w:w="8340" w:type="dxa"/>
          </w:tcPr>
          <w:p w14:paraId="24F828B7" w14:textId="77777777" w:rsidR="00386AC4" w:rsidRPr="001F6B22" w:rsidRDefault="00386AC4" w:rsidP="00082CC0">
            <w:pPr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Wymagania funkcjonalne ZKB,</w:t>
            </w:r>
          </w:p>
        </w:tc>
      </w:tr>
      <w:tr w:rsidR="00386AC4" w:rsidRPr="001F6B22" w14:paraId="7D202530" w14:textId="77777777" w:rsidTr="003E4760">
        <w:tc>
          <w:tcPr>
            <w:tcW w:w="1276" w:type="dxa"/>
          </w:tcPr>
          <w:p w14:paraId="05675505" w14:textId="11D18BD6" w:rsidR="00386AC4" w:rsidRPr="001F6B22" w:rsidRDefault="003E4760" w:rsidP="00082CC0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Załącznik </w:t>
            </w:r>
            <w:r w:rsidR="0016695A" w:rsidRPr="001F6B22">
              <w:rPr>
                <w:rFonts w:asciiTheme="majorHAnsi" w:hAnsiTheme="majorHAnsi" w:cs="Arial"/>
                <w:szCs w:val="22"/>
              </w:rPr>
              <w:t>B</w:t>
            </w:r>
          </w:p>
        </w:tc>
        <w:tc>
          <w:tcPr>
            <w:tcW w:w="284" w:type="dxa"/>
          </w:tcPr>
          <w:p w14:paraId="683561B4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-</w:t>
            </w:r>
          </w:p>
        </w:tc>
        <w:tc>
          <w:tcPr>
            <w:tcW w:w="8340" w:type="dxa"/>
          </w:tcPr>
          <w:p w14:paraId="62F21BC4" w14:textId="77777777" w:rsidR="00386AC4" w:rsidRPr="001F6B22" w:rsidRDefault="00386AC4" w:rsidP="00082CC0">
            <w:pPr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 xml:space="preserve">Wymagania dotyczące infrastruktury sprzętowej ZKB; </w:t>
            </w:r>
          </w:p>
        </w:tc>
      </w:tr>
      <w:tr w:rsidR="00386AC4" w:rsidRPr="001F6B22" w14:paraId="3B8E501B" w14:textId="77777777" w:rsidTr="003E4760">
        <w:tc>
          <w:tcPr>
            <w:tcW w:w="1276" w:type="dxa"/>
          </w:tcPr>
          <w:p w14:paraId="03158D01" w14:textId="065FC2A6" w:rsidR="00386AC4" w:rsidRPr="001F6B22" w:rsidRDefault="00386AC4" w:rsidP="00082CC0">
            <w:pPr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Załą</w:t>
            </w:r>
            <w:r w:rsidR="003E4760">
              <w:rPr>
                <w:rFonts w:asciiTheme="majorHAnsi" w:hAnsiTheme="majorHAnsi" w:cs="Arial"/>
                <w:szCs w:val="22"/>
              </w:rPr>
              <w:t>cznik</w:t>
            </w:r>
            <w:r w:rsidR="0016695A" w:rsidRPr="001F6B22">
              <w:rPr>
                <w:rFonts w:asciiTheme="majorHAnsi" w:hAnsiTheme="majorHAnsi" w:cs="Arial"/>
                <w:szCs w:val="22"/>
              </w:rPr>
              <w:t xml:space="preserve"> </w:t>
            </w:r>
            <w:r w:rsidR="00A22D22">
              <w:rPr>
                <w:rFonts w:asciiTheme="majorHAnsi" w:hAnsiTheme="majorHAnsi" w:cs="Arial"/>
                <w:szCs w:val="22"/>
              </w:rPr>
              <w:t>C</w:t>
            </w:r>
          </w:p>
        </w:tc>
        <w:tc>
          <w:tcPr>
            <w:tcW w:w="284" w:type="dxa"/>
          </w:tcPr>
          <w:p w14:paraId="6CCF0D11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-</w:t>
            </w:r>
          </w:p>
        </w:tc>
        <w:tc>
          <w:tcPr>
            <w:tcW w:w="8340" w:type="dxa"/>
          </w:tcPr>
          <w:p w14:paraId="5E353DBC" w14:textId="77777777" w:rsidR="00386AC4" w:rsidRPr="001F6B22" w:rsidRDefault="00386AC4" w:rsidP="00082CC0">
            <w:pPr>
              <w:rPr>
                <w:rFonts w:asciiTheme="majorHAnsi" w:hAnsiTheme="majorHAnsi" w:cs="Arial"/>
                <w:szCs w:val="22"/>
              </w:rPr>
            </w:pPr>
            <w:r w:rsidRPr="001F6B22">
              <w:rPr>
                <w:rFonts w:asciiTheme="majorHAnsi" w:hAnsiTheme="majorHAnsi" w:cs="Arial"/>
                <w:szCs w:val="22"/>
              </w:rPr>
              <w:t>Wymagania dot. konstrukcji i gabarytów urządzeń</w:t>
            </w:r>
            <w:r w:rsidRPr="001F6B22" w:rsidDel="007440BE">
              <w:rPr>
                <w:rFonts w:asciiTheme="majorHAnsi" w:hAnsiTheme="majorHAnsi" w:cs="Arial"/>
                <w:szCs w:val="22"/>
              </w:rPr>
              <w:t xml:space="preserve"> </w:t>
            </w:r>
          </w:p>
        </w:tc>
      </w:tr>
    </w:tbl>
    <w:p w14:paraId="47284B3E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</w:p>
    <w:p w14:paraId="6FDB569F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br w:type="page"/>
      </w:r>
    </w:p>
    <w:tbl>
      <w:tblPr>
        <w:tblStyle w:val="Tabela-Siatk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86AC4" w:rsidRPr="001F6B22" w14:paraId="7C1091F1" w14:textId="77777777" w:rsidTr="00C21192">
        <w:tc>
          <w:tcPr>
            <w:tcW w:w="6096" w:type="dxa"/>
          </w:tcPr>
          <w:p w14:paraId="5A11E87B" w14:textId="353C9FB2" w:rsidR="00386AC4" w:rsidRPr="001F6B22" w:rsidRDefault="00386AC4" w:rsidP="00140A00">
            <w:pPr>
              <w:spacing w:after="120"/>
              <w:jc w:val="right"/>
              <w:rPr>
                <w:rFonts w:asciiTheme="majorHAnsi" w:hAnsiTheme="majorHAnsi" w:cs="Arial"/>
              </w:rPr>
            </w:pPr>
            <w:r w:rsidRPr="001F6B22">
              <w:rPr>
                <w:rFonts w:asciiTheme="majorHAnsi" w:hAnsiTheme="majorHAnsi" w:cs="Arial"/>
                <w:b/>
              </w:rPr>
              <w:lastRenderedPageBreak/>
              <w:t xml:space="preserve">Załącznik </w:t>
            </w:r>
            <w:r w:rsidR="0016695A" w:rsidRPr="001F6B22">
              <w:rPr>
                <w:rFonts w:asciiTheme="majorHAnsi" w:hAnsiTheme="majorHAnsi" w:cs="Arial"/>
                <w:b/>
              </w:rPr>
              <w:t>A</w:t>
            </w:r>
            <w:r w:rsidRPr="001F6B22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22BBD3E5" w14:textId="77777777" w:rsidR="00386AC4" w:rsidRPr="001F6B22" w:rsidRDefault="00386AC4" w:rsidP="00386AC4">
      <w:pPr>
        <w:spacing w:after="120" w:line="300" w:lineRule="atLeast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 </w:t>
      </w:r>
    </w:p>
    <w:p w14:paraId="1ABCD016" w14:textId="77777777" w:rsidR="00386AC4" w:rsidRPr="001F6B22" w:rsidRDefault="00386AC4" w:rsidP="00386AC4">
      <w:pPr>
        <w:spacing w:after="120" w:line="300" w:lineRule="atLeast"/>
        <w:jc w:val="center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Wymagania funkcjonalne ZKB</w:t>
      </w:r>
    </w:p>
    <w:p w14:paraId="63F69BFF" w14:textId="79254DBB" w:rsidR="00386AC4" w:rsidRPr="001F6B22" w:rsidRDefault="00386AC4" w:rsidP="00386AC4">
      <w:pPr>
        <w:widowControl w:val="0"/>
        <w:spacing w:before="60" w:after="60" w:line="300" w:lineRule="atLeast"/>
        <w:jc w:val="center"/>
        <w:rPr>
          <w:rFonts w:asciiTheme="majorHAnsi" w:hAnsiTheme="majorHAnsi"/>
          <w:b/>
          <w:sz w:val="32"/>
          <w:szCs w:val="44"/>
        </w:rPr>
      </w:pPr>
      <w:r w:rsidRPr="001F6B22">
        <w:rPr>
          <w:rFonts w:asciiTheme="majorHAnsi" w:hAnsiTheme="majorHAnsi"/>
          <w:b/>
          <w:sz w:val="22"/>
          <w:szCs w:val="22"/>
          <w:u w:val="single"/>
        </w:rPr>
        <w:t>WYMAGANIA TECHNICZNE DLA LICZNIKÓW BILANSUJĄCYCH</w:t>
      </w:r>
    </w:p>
    <w:p w14:paraId="06CB707D" w14:textId="77777777" w:rsidR="00386AC4" w:rsidRPr="001F6B22" w:rsidRDefault="00386AC4" w:rsidP="00386AC4">
      <w:pPr>
        <w:widowControl w:val="0"/>
        <w:spacing w:before="60" w:after="60" w:line="300" w:lineRule="atLeast"/>
        <w:rPr>
          <w:rFonts w:asciiTheme="majorHAnsi" w:hAnsiTheme="majorHAnsi"/>
          <w:b/>
          <w:bCs/>
        </w:rPr>
      </w:pPr>
    </w:p>
    <w:p w14:paraId="45A71FA3" w14:textId="77777777" w:rsidR="00386AC4" w:rsidRPr="001F6B22" w:rsidRDefault="00386AC4" w:rsidP="00232859">
      <w:pPr>
        <w:widowControl w:val="0"/>
        <w:numPr>
          <w:ilvl w:val="0"/>
          <w:numId w:val="4"/>
        </w:numPr>
        <w:spacing w:after="60" w:line="260" w:lineRule="exact"/>
        <w:jc w:val="both"/>
        <w:rPr>
          <w:rFonts w:asciiTheme="majorHAnsi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>Wymagania ogólne</w:t>
      </w:r>
    </w:p>
    <w:p w14:paraId="37757AD8" w14:textId="77777777" w:rsidR="00386AC4" w:rsidRPr="001F6B22" w:rsidRDefault="00386AC4" w:rsidP="00232859">
      <w:pPr>
        <w:widowControl w:val="0"/>
        <w:numPr>
          <w:ilvl w:val="1"/>
          <w:numId w:val="5"/>
        </w:numPr>
        <w:spacing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Licznik musi pracować w sieci trójfazowej czteroprzewodowej, w układzie pomiarowym półpośrednim.</w:t>
      </w:r>
    </w:p>
    <w:p w14:paraId="30F68703" w14:textId="77777777" w:rsidR="00386AC4" w:rsidRPr="001F6B22" w:rsidRDefault="00386AC4" w:rsidP="00232859">
      <w:pPr>
        <w:widowControl w:val="0"/>
        <w:numPr>
          <w:ilvl w:val="1"/>
          <w:numId w:val="5"/>
        </w:numPr>
        <w:spacing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Licznik musi mierzyć, wyznaczać, rejestrować i udostępniać wartości opisane w pkt </w:t>
      </w:r>
      <w:r w:rsidRPr="001F6B22">
        <w:rPr>
          <w:rFonts w:asciiTheme="majorHAnsi" w:hAnsiTheme="majorHAnsi"/>
        </w:rPr>
        <w:fldChar w:fldCharType="begin"/>
      </w:r>
      <w:r w:rsidRPr="001F6B22">
        <w:rPr>
          <w:rFonts w:asciiTheme="majorHAnsi" w:hAnsiTheme="majorHAnsi"/>
        </w:rPr>
        <w:instrText xml:space="preserve"> REF _Ref399441832 \r \h  \* MERGEFORMAT </w:instrText>
      </w:r>
      <w:r w:rsidRPr="001F6B22">
        <w:rPr>
          <w:rFonts w:asciiTheme="majorHAnsi" w:hAnsiTheme="majorHAnsi"/>
        </w:rPr>
      </w:r>
      <w:r w:rsidRPr="001F6B22">
        <w:rPr>
          <w:rFonts w:asciiTheme="majorHAnsi" w:hAnsiTheme="majorHAnsi"/>
        </w:rPr>
        <w:fldChar w:fldCharType="separate"/>
      </w:r>
      <w:r w:rsidRPr="001F6B22">
        <w:rPr>
          <w:rFonts w:asciiTheme="majorHAnsi" w:hAnsiTheme="majorHAnsi"/>
        </w:rPr>
        <w:t>2</w:t>
      </w:r>
      <w:r w:rsidRPr="001F6B22">
        <w:rPr>
          <w:rFonts w:asciiTheme="majorHAnsi" w:hAnsiTheme="majorHAnsi"/>
        </w:rPr>
        <w:fldChar w:fldCharType="end"/>
      </w:r>
      <w:r w:rsidRPr="001F6B22">
        <w:rPr>
          <w:rFonts w:asciiTheme="majorHAnsi" w:hAnsiTheme="majorHAnsi"/>
        </w:rPr>
        <w:t xml:space="preserve"> oraz wykrywać zdarzenia oraz rejestrować i udostępniać informacje o zdarzeniach, opisane w pkt </w:t>
      </w:r>
      <w:r w:rsidRPr="001F6B22">
        <w:rPr>
          <w:rFonts w:asciiTheme="majorHAnsi" w:hAnsiTheme="majorHAnsi"/>
        </w:rPr>
        <w:fldChar w:fldCharType="begin"/>
      </w:r>
      <w:r w:rsidRPr="001F6B22">
        <w:rPr>
          <w:rFonts w:asciiTheme="majorHAnsi" w:hAnsiTheme="majorHAnsi"/>
        </w:rPr>
        <w:instrText xml:space="preserve"> REF _Ref399441853 \r \h  \* MERGEFORMAT </w:instrText>
      </w:r>
      <w:r w:rsidRPr="001F6B22">
        <w:rPr>
          <w:rFonts w:asciiTheme="majorHAnsi" w:hAnsiTheme="majorHAnsi"/>
        </w:rPr>
      </w:r>
      <w:r w:rsidRPr="001F6B22">
        <w:rPr>
          <w:rFonts w:asciiTheme="majorHAnsi" w:hAnsiTheme="majorHAnsi"/>
        </w:rPr>
        <w:fldChar w:fldCharType="separate"/>
      </w:r>
      <w:r w:rsidRPr="001F6B22">
        <w:rPr>
          <w:rFonts w:asciiTheme="majorHAnsi" w:hAnsiTheme="majorHAnsi"/>
        </w:rPr>
        <w:t>4</w:t>
      </w:r>
      <w:r w:rsidRPr="001F6B22">
        <w:rPr>
          <w:rFonts w:asciiTheme="majorHAnsi" w:hAnsiTheme="majorHAnsi"/>
        </w:rPr>
        <w:fldChar w:fldCharType="end"/>
      </w:r>
      <w:r w:rsidRPr="001F6B22">
        <w:rPr>
          <w:rFonts w:asciiTheme="majorHAnsi" w:hAnsiTheme="majorHAnsi"/>
        </w:rPr>
        <w:t>.</w:t>
      </w:r>
    </w:p>
    <w:p w14:paraId="7CA6500F" w14:textId="77777777" w:rsidR="00386AC4" w:rsidRPr="001F6B22" w:rsidRDefault="00386AC4" w:rsidP="00232859">
      <w:pPr>
        <w:widowControl w:val="0"/>
        <w:numPr>
          <w:ilvl w:val="1"/>
          <w:numId w:val="5"/>
        </w:numPr>
        <w:spacing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Licznik musi spełniać wymagania dotyczące </w:t>
      </w:r>
      <w:proofErr w:type="gramStart"/>
      <w:r w:rsidRPr="001F6B22">
        <w:rPr>
          <w:rFonts w:asciiTheme="majorHAnsi" w:hAnsiTheme="majorHAnsi"/>
        </w:rPr>
        <w:t>wskaźników jakości</w:t>
      </w:r>
      <w:proofErr w:type="gramEnd"/>
      <w:r w:rsidRPr="001F6B22">
        <w:rPr>
          <w:rFonts w:asciiTheme="majorHAnsi" w:hAnsiTheme="majorHAnsi"/>
        </w:rPr>
        <w:t xml:space="preserve"> dostawy energii elektrycznej określone w Z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łączniku nr 1.</w:t>
      </w:r>
    </w:p>
    <w:p w14:paraId="135A44B7" w14:textId="77777777" w:rsidR="00386AC4" w:rsidRPr="001F6B22" w:rsidRDefault="00386AC4" w:rsidP="00232859">
      <w:pPr>
        <w:widowControl w:val="0"/>
        <w:numPr>
          <w:ilvl w:val="0"/>
          <w:numId w:val="8"/>
        </w:numPr>
        <w:spacing w:after="60" w:line="260" w:lineRule="exact"/>
        <w:jc w:val="both"/>
        <w:rPr>
          <w:rFonts w:asciiTheme="majorHAnsi" w:hAnsiTheme="majorHAnsi"/>
        </w:rPr>
      </w:pPr>
      <w:bookmarkStart w:id="0" w:name="_Ref399441832"/>
      <w:r w:rsidRPr="001F6B22">
        <w:rPr>
          <w:rFonts w:asciiTheme="majorHAnsi" w:eastAsia="MS Gothic" w:hAnsiTheme="majorHAnsi"/>
          <w:b/>
          <w:bCs/>
        </w:rPr>
        <w:t>Pomiar, rejestracja i udostępnianie wartości</w:t>
      </w:r>
      <w:bookmarkEnd w:id="0"/>
    </w:p>
    <w:p w14:paraId="090ADE4D" w14:textId="77777777" w:rsidR="00386AC4" w:rsidRPr="001F6B22" w:rsidRDefault="00386AC4" w:rsidP="00232859">
      <w:pPr>
        <w:widowControl w:val="0"/>
        <w:numPr>
          <w:ilvl w:val="1"/>
          <w:numId w:val="7"/>
        </w:numPr>
        <w:spacing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</w:rPr>
        <w:t xml:space="preserve">Licznik musi </w:t>
      </w:r>
      <w:r w:rsidRPr="001F6B22">
        <w:rPr>
          <w:rFonts w:asciiTheme="majorHAnsi" w:eastAsia="MS Gothic" w:hAnsiTheme="majorHAnsi"/>
          <w:bCs/>
          <w:u w:val="single"/>
        </w:rPr>
        <w:t>dokonywać pomiaru</w:t>
      </w:r>
      <w:r w:rsidRPr="001F6B22">
        <w:rPr>
          <w:rFonts w:asciiTheme="majorHAnsi" w:eastAsia="MS Gothic" w:hAnsiTheme="majorHAnsi"/>
          <w:bCs/>
        </w:rPr>
        <w:t>:</w:t>
      </w:r>
    </w:p>
    <w:p w14:paraId="00FEDDD5" w14:textId="77777777" w:rsidR="00386AC4" w:rsidRPr="001F6B22" w:rsidRDefault="00386AC4" w:rsidP="00232859">
      <w:pPr>
        <w:widowControl w:val="0"/>
        <w:numPr>
          <w:ilvl w:val="2"/>
          <w:numId w:val="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bookmarkStart w:id="1" w:name="_Ref245878079"/>
      <w:proofErr w:type="spellStart"/>
      <w:proofErr w:type="gramStart"/>
      <w:r w:rsidRPr="001F6B22">
        <w:rPr>
          <w:rFonts w:asciiTheme="majorHAnsi" w:eastAsia="MS Gothic" w:hAnsiTheme="majorHAnsi"/>
          <w:bCs/>
        </w:rPr>
        <w:t>śwartości</w:t>
      </w:r>
      <w:proofErr w:type="spellEnd"/>
      <w:proofErr w:type="gramEnd"/>
      <w:r w:rsidRPr="001F6B22">
        <w:rPr>
          <w:rFonts w:asciiTheme="majorHAnsi" w:eastAsia="MS Gothic" w:hAnsiTheme="majorHAnsi"/>
          <w:bCs/>
        </w:rPr>
        <w:t xml:space="preserve"> skutecznych napięć i prądów fazowych (RMS)</w:t>
      </w:r>
      <w:bookmarkEnd w:id="1"/>
      <w:r w:rsidRPr="001F6B22">
        <w:rPr>
          <w:rFonts w:asciiTheme="majorHAnsi" w:eastAsia="MS Gothic" w:hAnsiTheme="majorHAnsi"/>
          <w:bCs/>
        </w:rPr>
        <w:t>,</w:t>
      </w:r>
    </w:p>
    <w:p w14:paraId="4C90EE26" w14:textId="77777777" w:rsidR="00386AC4" w:rsidRPr="001F6B22" w:rsidRDefault="00386AC4" w:rsidP="00232859">
      <w:pPr>
        <w:widowControl w:val="0"/>
        <w:numPr>
          <w:ilvl w:val="2"/>
          <w:numId w:val="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wartości</w:t>
      </w:r>
      <w:proofErr w:type="gramEnd"/>
      <w:r w:rsidRPr="001F6B22">
        <w:rPr>
          <w:rFonts w:asciiTheme="majorHAnsi" w:eastAsia="MS Gothic" w:hAnsiTheme="majorHAnsi"/>
          <w:bCs/>
        </w:rPr>
        <w:t xml:space="preserve"> kątów napięć względem napięcia w fazie pierwszej i prądów fazowych względem odpowie</w:t>
      </w:r>
      <w:r w:rsidRPr="001F6B22">
        <w:rPr>
          <w:rFonts w:asciiTheme="majorHAnsi" w:eastAsia="MS Gothic" w:hAnsiTheme="majorHAnsi"/>
          <w:bCs/>
        </w:rPr>
        <w:t>d</w:t>
      </w:r>
      <w:r w:rsidRPr="001F6B22">
        <w:rPr>
          <w:rFonts w:asciiTheme="majorHAnsi" w:eastAsia="MS Gothic" w:hAnsiTheme="majorHAnsi"/>
          <w:bCs/>
        </w:rPr>
        <w:t>nich napięć fazowych.</w:t>
      </w:r>
    </w:p>
    <w:p w14:paraId="6F0D035E" w14:textId="77777777" w:rsidR="00386AC4" w:rsidRPr="001F6B22" w:rsidRDefault="00386AC4" w:rsidP="00232859">
      <w:pPr>
        <w:widowControl w:val="0"/>
        <w:numPr>
          <w:ilvl w:val="1"/>
          <w:numId w:val="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</w:t>
      </w:r>
      <w:r w:rsidRPr="001F6B22">
        <w:rPr>
          <w:rFonts w:asciiTheme="majorHAnsi" w:eastAsia="MS Gothic" w:hAnsiTheme="majorHAnsi"/>
          <w:bCs/>
          <w:u w:val="single"/>
        </w:rPr>
        <w:t>wyznaczać wartości</w:t>
      </w:r>
      <w:r w:rsidRPr="001F6B22">
        <w:rPr>
          <w:rFonts w:asciiTheme="majorHAnsi" w:eastAsia="MS Gothic" w:hAnsiTheme="majorHAnsi"/>
          <w:bCs/>
        </w:rPr>
        <w:t>:</w:t>
      </w:r>
    </w:p>
    <w:p w14:paraId="6147111A" w14:textId="77777777" w:rsidR="00386AC4" w:rsidRPr="001F6B22" w:rsidRDefault="00386AC4" w:rsidP="00232859">
      <w:pPr>
        <w:widowControl w:val="0"/>
        <w:numPr>
          <w:ilvl w:val="2"/>
          <w:numId w:val="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bookmarkStart w:id="2" w:name="_Ref399442066"/>
      <w:proofErr w:type="gramStart"/>
      <w:r w:rsidRPr="001F6B22">
        <w:rPr>
          <w:rFonts w:asciiTheme="majorHAnsi" w:eastAsia="MS Gothic" w:hAnsiTheme="majorHAnsi"/>
          <w:bCs/>
        </w:rPr>
        <w:t>skutecznych</w:t>
      </w:r>
      <w:proofErr w:type="gramEnd"/>
      <w:r w:rsidRPr="001F6B22">
        <w:rPr>
          <w:rFonts w:asciiTheme="majorHAnsi" w:eastAsia="MS Gothic" w:hAnsiTheme="majorHAnsi"/>
          <w:bCs/>
        </w:rPr>
        <w:t xml:space="preserve"> napięć (TRUE VRMS) i prądów fazowych (TRUE IRMS) z okresem całkowania 1 sekunda,</w:t>
      </w:r>
      <w:bookmarkEnd w:id="2"/>
    </w:p>
    <w:p w14:paraId="75AC697F" w14:textId="77777777" w:rsidR="00386AC4" w:rsidRPr="001F6B22" w:rsidRDefault="00386AC4" w:rsidP="00232859">
      <w:pPr>
        <w:widowControl w:val="0"/>
        <w:numPr>
          <w:ilvl w:val="2"/>
          <w:numId w:val="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mocy</w:t>
      </w:r>
      <w:proofErr w:type="gramEnd"/>
      <w:r w:rsidRPr="001F6B22">
        <w:rPr>
          <w:rFonts w:asciiTheme="majorHAnsi" w:eastAsia="MS Gothic" w:hAnsiTheme="majorHAnsi"/>
          <w:bCs/>
        </w:rPr>
        <w:t xml:space="preserve"> czynnej i biernej - sumarycznej oraz dla każdej z faz, dla kierunku pobór i oddanie, w okresie uśredniania nie dłuższym niż 1 sekunda, wymagane jest sumowanie mocy czynnej do rejestrów 1.8.0 </w:t>
      </w:r>
      <w:proofErr w:type="gramStart"/>
      <w:r w:rsidRPr="001F6B22">
        <w:rPr>
          <w:rFonts w:asciiTheme="majorHAnsi" w:eastAsia="MS Gothic" w:hAnsiTheme="majorHAnsi"/>
          <w:bCs/>
        </w:rPr>
        <w:t>i</w:t>
      </w:r>
      <w:proofErr w:type="gramEnd"/>
      <w:r w:rsidRPr="001F6B22">
        <w:rPr>
          <w:rFonts w:asciiTheme="majorHAnsi" w:eastAsia="MS Gothic" w:hAnsiTheme="majorHAnsi"/>
          <w:bCs/>
        </w:rPr>
        <w:t xml:space="preserve"> 2.8.0 </w:t>
      </w:r>
      <w:proofErr w:type="gramStart"/>
      <w:r w:rsidRPr="001F6B22">
        <w:rPr>
          <w:rFonts w:asciiTheme="majorHAnsi" w:eastAsia="MS Gothic" w:hAnsiTheme="majorHAnsi"/>
          <w:bCs/>
        </w:rPr>
        <w:t>w</w:t>
      </w:r>
      <w:proofErr w:type="gramEnd"/>
      <w:r w:rsidRPr="001F6B22">
        <w:rPr>
          <w:rFonts w:asciiTheme="majorHAnsi" w:eastAsia="MS Gothic" w:hAnsiTheme="majorHAnsi"/>
          <w:bCs/>
        </w:rPr>
        <w:t xml:space="preserve"> zależności od wypadkowego kierunku przepływu energii na trzech fazach łącznie, a moc bierna musi być wyznaczana dla każdego kwadrantu.</w:t>
      </w:r>
    </w:p>
    <w:p w14:paraId="725825D8" w14:textId="77777777" w:rsidR="00386AC4" w:rsidRPr="001F6B22" w:rsidRDefault="00386AC4" w:rsidP="00232859">
      <w:pPr>
        <w:widowControl w:val="0"/>
        <w:numPr>
          <w:ilvl w:val="2"/>
          <w:numId w:val="72"/>
        </w:numPr>
        <w:spacing w:after="60" w:line="260" w:lineRule="exact"/>
        <w:jc w:val="both"/>
        <w:rPr>
          <w:rFonts w:asciiTheme="majorHAnsi" w:eastAsia="MS Gothic" w:hAnsiTheme="majorHAnsi"/>
          <w:bCs/>
          <w:color w:val="D9D9D9" w:themeColor="background1" w:themeShade="D9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AB0C149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mocy</w:t>
      </w:r>
      <w:proofErr w:type="gramEnd"/>
      <w:r w:rsidRPr="001F6B22">
        <w:rPr>
          <w:rFonts w:asciiTheme="majorHAnsi" w:eastAsia="MS Gothic" w:hAnsiTheme="majorHAnsi"/>
          <w:bCs/>
        </w:rPr>
        <w:t xml:space="preserve"> pozornej - dla każdej z faz dla kierunku pobór i oddanie oraz sumaryczną - w okresie uśredniania nie dłuższym niż 1 sekunda, </w:t>
      </w:r>
    </w:p>
    <w:p w14:paraId="29F3E410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energii</w:t>
      </w:r>
      <w:proofErr w:type="gramEnd"/>
      <w:r w:rsidRPr="001F6B22">
        <w:rPr>
          <w:rFonts w:asciiTheme="majorHAnsi" w:eastAsia="MS Gothic" w:hAnsiTheme="majorHAnsi"/>
          <w:bCs/>
        </w:rPr>
        <w:t xml:space="preserve"> czynnej w obu kierunkach (+A, -A), </w:t>
      </w:r>
    </w:p>
    <w:p w14:paraId="0C810BCA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energii</w:t>
      </w:r>
      <w:proofErr w:type="gramEnd"/>
      <w:r w:rsidRPr="001F6B22">
        <w:rPr>
          <w:rFonts w:asciiTheme="majorHAnsi" w:eastAsia="MS Gothic" w:hAnsiTheme="majorHAnsi"/>
          <w:bCs/>
        </w:rPr>
        <w:t xml:space="preserve"> biernej (R) w czterech kwadrantach (QI, QII, QIII, QIV),</w:t>
      </w:r>
    </w:p>
    <w:p w14:paraId="4DADECEB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energii</w:t>
      </w:r>
      <w:proofErr w:type="gramEnd"/>
      <w:r w:rsidRPr="001F6B22">
        <w:rPr>
          <w:rFonts w:asciiTheme="majorHAnsi" w:eastAsia="MS Gothic" w:hAnsiTheme="majorHAnsi"/>
          <w:bCs/>
        </w:rPr>
        <w:t xml:space="preserve"> pozornej w obu kierunkach (pobór i oddanie),</w:t>
      </w:r>
    </w:p>
    <w:p w14:paraId="2466D77A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strat</w:t>
      </w:r>
      <w:proofErr w:type="gramEnd"/>
      <w:r w:rsidRPr="001F6B22">
        <w:rPr>
          <w:rFonts w:asciiTheme="majorHAnsi" w:eastAsia="MS Gothic" w:hAnsiTheme="majorHAnsi"/>
          <w:bCs/>
        </w:rPr>
        <w:t xml:space="preserve"> jałowych U</w:t>
      </w:r>
      <w:r w:rsidRPr="001F6B22">
        <w:rPr>
          <w:rFonts w:asciiTheme="majorHAnsi" w:eastAsia="MS Gothic" w:hAnsiTheme="majorHAnsi"/>
          <w:bCs/>
          <w:vertAlign w:val="superscript"/>
        </w:rPr>
        <w:t>2</w:t>
      </w:r>
      <w:r w:rsidRPr="001F6B22">
        <w:rPr>
          <w:rFonts w:asciiTheme="majorHAnsi" w:eastAsia="MS Gothic" w:hAnsiTheme="majorHAnsi"/>
          <w:bCs/>
        </w:rPr>
        <w:t>t i obciążeniowych I</w:t>
      </w:r>
      <w:r w:rsidRPr="001F6B22">
        <w:rPr>
          <w:rFonts w:asciiTheme="majorHAnsi" w:eastAsia="MS Gothic" w:hAnsiTheme="majorHAnsi"/>
          <w:bCs/>
          <w:vertAlign w:val="superscript"/>
        </w:rPr>
        <w:t>2</w:t>
      </w:r>
      <w:r w:rsidRPr="001F6B22">
        <w:rPr>
          <w:rFonts w:asciiTheme="majorHAnsi" w:eastAsia="MS Gothic" w:hAnsiTheme="majorHAnsi"/>
          <w:bCs/>
        </w:rPr>
        <w:t>t (w jednostkach, odpowiednio, V</w:t>
      </w:r>
      <w:r w:rsidRPr="001F6B22">
        <w:rPr>
          <w:rFonts w:asciiTheme="majorHAnsi" w:eastAsia="MS Gothic" w:hAnsiTheme="majorHAnsi"/>
          <w:bCs/>
          <w:vertAlign w:val="superscript"/>
        </w:rPr>
        <w:t>2</w:t>
      </w:r>
      <w:r w:rsidRPr="001F6B22">
        <w:rPr>
          <w:rFonts w:asciiTheme="majorHAnsi" w:eastAsia="MS Gothic" w:hAnsiTheme="majorHAnsi"/>
          <w:bCs/>
        </w:rPr>
        <w:t>h i A</w:t>
      </w:r>
      <w:r w:rsidRPr="001F6B22">
        <w:rPr>
          <w:rFonts w:asciiTheme="majorHAnsi" w:eastAsia="MS Gothic" w:hAnsiTheme="majorHAnsi"/>
          <w:bCs/>
          <w:vertAlign w:val="superscript"/>
        </w:rPr>
        <w:t>2</w:t>
      </w:r>
      <w:r w:rsidRPr="001F6B22">
        <w:rPr>
          <w:rFonts w:asciiTheme="majorHAnsi" w:eastAsia="MS Gothic" w:hAnsiTheme="majorHAnsi"/>
          <w:bCs/>
        </w:rPr>
        <w:t>h,</w:t>
      </w:r>
    </w:p>
    <w:p w14:paraId="18653093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współczynnik</w:t>
      </w:r>
      <w:proofErr w:type="gramEnd"/>
      <w:r w:rsidRPr="001F6B22">
        <w:rPr>
          <w:rFonts w:asciiTheme="majorHAnsi" w:eastAsia="MS Gothic" w:hAnsiTheme="majorHAnsi"/>
          <w:bCs/>
        </w:rPr>
        <w:t xml:space="preserve"> zawartości harmonicznych (TTHD) w napięciu, zgodnie z złącznikiem nr 1.</w:t>
      </w:r>
    </w:p>
    <w:p w14:paraId="7D05354A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wskaźników jakości</w:t>
      </w:r>
      <w:proofErr w:type="gramEnd"/>
      <w:r w:rsidRPr="001F6B22">
        <w:rPr>
          <w:rFonts w:asciiTheme="majorHAnsi" w:eastAsia="MS Gothic" w:hAnsiTheme="majorHAnsi"/>
          <w:bCs/>
        </w:rPr>
        <w:t xml:space="preserve"> zasilania, wartości ocen wskaźników jakości zasilania oraz wartości całkowitych liczb zdarzeń w Okresie Pomiarowym dotyczących przekroczenia progów napięcia lub jego zaniku – zgodnie z Załącznikiem nr 1.</w:t>
      </w:r>
    </w:p>
    <w:p w14:paraId="4BDA596F" w14:textId="77777777" w:rsidR="00386AC4" w:rsidRPr="001F6B22" w:rsidRDefault="00386AC4" w:rsidP="00232859">
      <w:pPr>
        <w:widowControl w:val="0"/>
        <w:numPr>
          <w:ilvl w:val="1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</w:t>
      </w:r>
      <w:r w:rsidRPr="001F6B22">
        <w:rPr>
          <w:rFonts w:asciiTheme="majorHAnsi" w:eastAsia="MS Gothic" w:hAnsiTheme="majorHAnsi"/>
          <w:bCs/>
          <w:u w:val="single"/>
        </w:rPr>
        <w:t>dokonywać rejestracji</w:t>
      </w:r>
      <w:r w:rsidRPr="001F6B22">
        <w:rPr>
          <w:rFonts w:asciiTheme="majorHAnsi" w:eastAsia="MS Gothic" w:hAnsiTheme="majorHAnsi"/>
          <w:bCs/>
        </w:rPr>
        <w:t>:</w:t>
      </w:r>
    </w:p>
    <w:p w14:paraId="12A5D36A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wartości</w:t>
      </w:r>
      <w:proofErr w:type="gramEnd"/>
      <w:r w:rsidRPr="001F6B22">
        <w:rPr>
          <w:rFonts w:asciiTheme="majorHAnsi" w:eastAsia="MS Gothic" w:hAnsiTheme="majorHAnsi"/>
          <w:bCs/>
        </w:rPr>
        <w:t xml:space="preserve"> skutecznych napięć (TRUE VRMS), o których mowa w pkt </w:t>
      </w:r>
      <w:r w:rsidRPr="001F6B22">
        <w:rPr>
          <w:rFonts w:asciiTheme="majorHAnsi" w:eastAsia="MS Gothic" w:hAnsiTheme="majorHAnsi"/>
          <w:bCs/>
        </w:rPr>
        <w:fldChar w:fldCharType="begin"/>
      </w:r>
      <w:r w:rsidRPr="001F6B22">
        <w:rPr>
          <w:rFonts w:asciiTheme="majorHAnsi" w:eastAsia="MS Gothic" w:hAnsiTheme="majorHAnsi"/>
          <w:bCs/>
        </w:rPr>
        <w:instrText xml:space="preserve"> REF _Ref399442066 \r \h  \* MERGEFORMAT </w:instrText>
      </w:r>
      <w:r w:rsidRPr="001F6B22">
        <w:rPr>
          <w:rFonts w:asciiTheme="majorHAnsi" w:eastAsia="MS Gothic" w:hAnsiTheme="majorHAnsi"/>
          <w:bCs/>
        </w:rPr>
      </w:r>
      <w:r w:rsidRPr="001F6B22">
        <w:rPr>
          <w:rFonts w:asciiTheme="majorHAnsi" w:eastAsia="MS Gothic" w:hAnsiTheme="majorHAnsi"/>
          <w:bCs/>
        </w:rPr>
        <w:fldChar w:fldCharType="separate"/>
      </w:r>
      <w:r w:rsidRPr="001F6B22">
        <w:rPr>
          <w:rFonts w:asciiTheme="majorHAnsi" w:eastAsia="MS Gothic" w:hAnsiTheme="majorHAnsi"/>
          <w:bCs/>
        </w:rPr>
        <w:t>2.2.1</w:t>
      </w:r>
      <w:r w:rsidRPr="001F6B22">
        <w:rPr>
          <w:rFonts w:asciiTheme="majorHAnsi" w:eastAsia="MS Gothic" w:hAnsiTheme="majorHAnsi"/>
          <w:bCs/>
        </w:rPr>
        <w:fldChar w:fldCharType="end"/>
      </w:r>
      <w:r w:rsidRPr="001F6B22">
        <w:rPr>
          <w:rFonts w:asciiTheme="majorHAnsi" w:eastAsia="MS Gothic" w:hAnsiTheme="majorHAnsi"/>
          <w:bCs/>
        </w:rPr>
        <w:t>, uśrednianych w okresie 10 m</w:t>
      </w:r>
      <w:r w:rsidRPr="001F6B22">
        <w:rPr>
          <w:rFonts w:asciiTheme="majorHAnsi" w:eastAsia="MS Gothic" w:hAnsiTheme="majorHAnsi"/>
          <w:bCs/>
        </w:rPr>
        <w:t>i</w:t>
      </w:r>
      <w:r w:rsidRPr="001F6B22">
        <w:rPr>
          <w:rFonts w:asciiTheme="majorHAnsi" w:eastAsia="MS Gothic" w:hAnsiTheme="majorHAnsi"/>
          <w:bCs/>
        </w:rPr>
        <w:t>nut, zapisywanych w profilu,</w:t>
      </w:r>
    </w:p>
    <w:p w14:paraId="7EAC460C" w14:textId="77777777" w:rsidR="00386AC4" w:rsidRPr="001F6B22" w:rsidRDefault="00386AC4" w:rsidP="005C1553">
      <w:pPr>
        <w:widowControl w:val="0"/>
        <w:numPr>
          <w:ilvl w:val="2"/>
          <w:numId w:val="73"/>
        </w:numPr>
        <w:spacing w:line="260" w:lineRule="exact"/>
        <w:jc w:val="both"/>
        <w:rPr>
          <w:rFonts w:asciiTheme="majorHAnsi" w:eastAsia="MS Gothic" w:hAnsiTheme="majorHAnsi"/>
          <w:bCs/>
        </w:rPr>
      </w:pPr>
      <w:bookmarkStart w:id="3" w:name="_Ref271542286"/>
      <w:r w:rsidRPr="001F6B22">
        <w:rPr>
          <w:rFonts w:asciiTheme="majorHAnsi" w:eastAsia="MS Gothic" w:hAnsiTheme="majorHAnsi"/>
          <w:bCs/>
        </w:rPr>
        <w:t xml:space="preserve">wartości profilu obciążenia </w:t>
      </w:r>
      <w:proofErr w:type="gramStart"/>
      <w:r w:rsidRPr="001F6B22">
        <w:rPr>
          <w:rFonts w:asciiTheme="majorHAnsi" w:eastAsia="MS Gothic" w:hAnsiTheme="majorHAnsi"/>
          <w:bCs/>
        </w:rPr>
        <w:t>zapisywanych jako</w:t>
      </w:r>
      <w:proofErr w:type="gramEnd"/>
      <w:r w:rsidRPr="001F6B22">
        <w:rPr>
          <w:rFonts w:asciiTheme="majorHAnsi" w:eastAsia="MS Gothic" w:hAnsiTheme="majorHAnsi"/>
          <w:bCs/>
        </w:rPr>
        <w:t xml:space="preserve"> </w:t>
      </w:r>
      <w:proofErr w:type="spellStart"/>
      <w:r w:rsidRPr="001F6B22">
        <w:rPr>
          <w:rFonts w:asciiTheme="majorHAnsi" w:eastAsia="MS Gothic" w:hAnsiTheme="majorHAnsi"/>
          <w:bCs/>
        </w:rPr>
        <w:t>bezstrefowe</w:t>
      </w:r>
      <w:proofErr w:type="spellEnd"/>
      <w:r w:rsidRPr="001F6B22">
        <w:rPr>
          <w:rFonts w:asciiTheme="majorHAnsi" w:eastAsia="MS Gothic" w:hAnsiTheme="majorHAnsi"/>
          <w:bCs/>
        </w:rPr>
        <w:t xml:space="preserve"> stany liczydła energii czynnej i biernej, z d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finiowalną i konfigurowalną przez Zamawiającego częstotliwością co:</w:t>
      </w:r>
      <w:bookmarkEnd w:id="3"/>
    </w:p>
    <w:p w14:paraId="32083192" w14:textId="77777777" w:rsidR="00386AC4" w:rsidRPr="001F6B22" w:rsidRDefault="00386AC4" w:rsidP="005C1553">
      <w:pPr>
        <w:widowControl w:val="0"/>
        <w:numPr>
          <w:ilvl w:val="3"/>
          <w:numId w:val="73"/>
        </w:numPr>
        <w:spacing w:line="260" w:lineRule="exact"/>
        <w:ind w:hanging="594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15 </w:t>
      </w:r>
      <w:proofErr w:type="gramStart"/>
      <w:r w:rsidRPr="001F6B22">
        <w:rPr>
          <w:rFonts w:asciiTheme="majorHAnsi" w:eastAsia="MS Gothic" w:hAnsiTheme="majorHAnsi"/>
          <w:bCs/>
        </w:rPr>
        <w:t xml:space="preserve">minut, </w:t>
      </w:r>
      <w:proofErr w:type="gramEnd"/>
    </w:p>
    <w:p w14:paraId="7F628793" w14:textId="55478604" w:rsidR="00386AC4" w:rsidRPr="001F6B22" w:rsidRDefault="00386AC4" w:rsidP="005C1553">
      <w:pPr>
        <w:widowControl w:val="0"/>
        <w:numPr>
          <w:ilvl w:val="3"/>
          <w:numId w:val="73"/>
        </w:numPr>
        <w:spacing w:line="260" w:lineRule="exact"/>
        <w:ind w:hanging="594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30 minut,</w:t>
      </w:r>
      <w:r w:rsidR="006B1801">
        <w:rPr>
          <w:rFonts w:asciiTheme="majorHAnsi" w:eastAsia="MS Gothic" w:hAnsiTheme="majorHAnsi"/>
          <w:bCs/>
        </w:rPr>
        <w:t xml:space="preserve"> </w:t>
      </w:r>
    </w:p>
    <w:p w14:paraId="01F814EE" w14:textId="77777777" w:rsidR="00386AC4" w:rsidRPr="001F6B22" w:rsidRDefault="00386AC4" w:rsidP="00232859">
      <w:pPr>
        <w:widowControl w:val="0"/>
        <w:numPr>
          <w:ilvl w:val="3"/>
          <w:numId w:val="73"/>
        </w:numPr>
        <w:spacing w:after="60" w:line="260" w:lineRule="exact"/>
        <w:ind w:hanging="594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60 minut,</w:t>
      </w:r>
    </w:p>
    <w:p w14:paraId="2547B220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wartości rejestrów energii czynnej, biernej oraz strat zatrzaskiwanych w programowanym przez Z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mawiającego cyklu: dobowym (godzina</w:t>
      </w:r>
      <w:proofErr w:type="gramStart"/>
      <w:r w:rsidRPr="001F6B22">
        <w:rPr>
          <w:rFonts w:asciiTheme="majorHAnsi" w:eastAsia="MS Gothic" w:hAnsiTheme="majorHAnsi"/>
          <w:bCs/>
        </w:rPr>
        <w:t xml:space="preserve"> 00:00:00), tygodniowym</w:t>
      </w:r>
      <w:proofErr w:type="gramEnd"/>
      <w:r w:rsidRPr="001F6B22">
        <w:rPr>
          <w:rFonts w:asciiTheme="majorHAnsi" w:eastAsia="MS Gothic" w:hAnsiTheme="majorHAnsi"/>
          <w:bCs/>
        </w:rPr>
        <w:t xml:space="preserve"> (poniedziałek, godzina 00:00:00), dziesięciodniowym (1, 11, 21 dzień miesiąca, godzina 00:00:00) lub miesięcznym (1 dzień miesiąca, g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dzina 00:00:00)</w:t>
      </w:r>
    </w:p>
    <w:p w14:paraId="4A8929ED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średnich</w:t>
      </w:r>
      <w:proofErr w:type="gramEnd"/>
      <w:r w:rsidRPr="001F6B22">
        <w:rPr>
          <w:rFonts w:asciiTheme="majorHAnsi" w:eastAsia="MS Gothic" w:hAnsiTheme="majorHAnsi"/>
          <w:bCs/>
        </w:rPr>
        <w:t>, minimalnych i maksymalnych chwilowych wartości napięć dla okresów uśredniania 10 minut.</w:t>
      </w:r>
    </w:p>
    <w:p w14:paraId="0B1A51B3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wartości profilu strat z </w:t>
      </w:r>
      <w:proofErr w:type="gramStart"/>
      <w:r w:rsidRPr="001F6B22">
        <w:rPr>
          <w:rFonts w:asciiTheme="majorHAnsi" w:eastAsia="MS Gothic" w:hAnsiTheme="majorHAnsi"/>
          <w:bCs/>
        </w:rPr>
        <w:t>częstotliwością co</w:t>
      </w:r>
      <w:proofErr w:type="gramEnd"/>
      <w:r w:rsidRPr="001F6B22">
        <w:rPr>
          <w:rFonts w:asciiTheme="majorHAnsi" w:eastAsia="MS Gothic" w:hAnsiTheme="majorHAnsi"/>
          <w:bCs/>
        </w:rPr>
        <w:t xml:space="preserve"> 15 minut.</w:t>
      </w:r>
    </w:p>
    <w:p w14:paraId="0BBD0963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rejestru</w:t>
      </w:r>
      <w:proofErr w:type="gramEnd"/>
      <w:r w:rsidRPr="001F6B22">
        <w:rPr>
          <w:rFonts w:asciiTheme="majorHAnsi" w:eastAsia="MS Gothic" w:hAnsiTheme="majorHAnsi"/>
          <w:bCs/>
        </w:rPr>
        <w:t xml:space="preserve"> zdarzeń,</w:t>
      </w:r>
    </w:p>
    <w:p w14:paraId="6E1DC7C5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wskaźników jakości</w:t>
      </w:r>
      <w:proofErr w:type="gramEnd"/>
      <w:r w:rsidRPr="001F6B22">
        <w:rPr>
          <w:rFonts w:asciiTheme="majorHAnsi" w:eastAsia="MS Gothic" w:hAnsiTheme="majorHAnsi"/>
          <w:bCs/>
        </w:rPr>
        <w:t xml:space="preserve"> zasilania, wartości ocen wskaźników jakości zasilania oraz wartości całkowitych liczb zdarzeń w Okresie Pomiarowym dotyczących przekroczenia progów napięcia lub jego zaniku – zgodnie z Załącznikiem nr 1.</w:t>
      </w:r>
    </w:p>
    <w:p w14:paraId="0785C23D" w14:textId="77777777" w:rsidR="00386AC4" w:rsidRPr="001F6B22" w:rsidRDefault="00386AC4" w:rsidP="00232859">
      <w:pPr>
        <w:widowControl w:val="0"/>
        <w:numPr>
          <w:ilvl w:val="1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Każda wartość zarejestrowana przez licznik musi być </w:t>
      </w:r>
      <w:proofErr w:type="gramStart"/>
      <w:r w:rsidRPr="001F6B22">
        <w:rPr>
          <w:rFonts w:asciiTheme="majorHAnsi" w:eastAsia="MS Gothic" w:hAnsiTheme="majorHAnsi"/>
          <w:bCs/>
        </w:rPr>
        <w:t>opisana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następującymi atrybutami:</w:t>
      </w:r>
    </w:p>
    <w:p w14:paraId="31794067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datą</w:t>
      </w:r>
      <w:proofErr w:type="gramEnd"/>
      <w:r w:rsidRPr="001F6B22">
        <w:rPr>
          <w:rFonts w:asciiTheme="majorHAnsi" w:eastAsia="MS Gothic" w:hAnsiTheme="majorHAnsi"/>
          <w:bCs/>
        </w:rPr>
        <w:t xml:space="preserve"> i czasem pomiaru na koniec okresu jego uśredniania,</w:t>
      </w:r>
    </w:p>
    <w:p w14:paraId="13A889A2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odpowiednim</w:t>
      </w:r>
      <w:proofErr w:type="gramEnd"/>
      <w:r w:rsidRPr="001F6B22">
        <w:rPr>
          <w:rFonts w:asciiTheme="majorHAnsi" w:eastAsia="MS Gothic" w:hAnsiTheme="majorHAnsi"/>
          <w:bCs/>
        </w:rPr>
        <w:t xml:space="preserve"> kodem OBIS. </w:t>
      </w:r>
    </w:p>
    <w:p w14:paraId="43B4DA00" w14:textId="77777777" w:rsidR="00386AC4" w:rsidRPr="001F6B22" w:rsidRDefault="00386AC4" w:rsidP="00232859">
      <w:pPr>
        <w:widowControl w:val="0"/>
        <w:numPr>
          <w:ilvl w:val="1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bookmarkStart w:id="4" w:name="_Ref395770904"/>
      <w:r w:rsidRPr="001F6B22">
        <w:rPr>
          <w:rFonts w:asciiTheme="majorHAnsi" w:eastAsia="MS Gothic" w:hAnsiTheme="majorHAnsi"/>
          <w:bCs/>
        </w:rPr>
        <w:t>Zmierzone wartości energii:</w:t>
      </w:r>
      <w:bookmarkEnd w:id="4"/>
      <w:r w:rsidRPr="001F6B22">
        <w:rPr>
          <w:rFonts w:asciiTheme="majorHAnsi" w:eastAsia="MS Gothic" w:hAnsiTheme="majorHAnsi"/>
          <w:bCs/>
        </w:rPr>
        <w:t xml:space="preserve"> </w:t>
      </w:r>
    </w:p>
    <w:p w14:paraId="0C1C1D27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czynnej - muszą być rejestrowane z </w:t>
      </w:r>
      <w:proofErr w:type="gramStart"/>
      <w:r w:rsidRPr="001F6B22">
        <w:rPr>
          <w:rFonts w:asciiTheme="majorHAnsi" w:eastAsia="MS Gothic" w:hAnsiTheme="majorHAnsi"/>
          <w:bCs/>
        </w:rPr>
        <w:t>dokładnością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do 1 (jednej) </w:t>
      </w:r>
      <w:proofErr w:type="spellStart"/>
      <w:r w:rsidRPr="001F6B22">
        <w:rPr>
          <w:rFonts w:asciiTheme="majorHAnsi" w:eastAsia="MS Gothic" w:hAnsiTheme="majorHAnsi"/>
          <w:bCs/>
        </w:rPr>
        <w:t>Wh</w:t>
      </w:r>
      <w:proofErr w:type="spellEnd"/>
      <w:r w:rsidRPr="001F6B22">
        <w:rPr>
          <w:rFonts w:asciiTheme="majorHAnsi" w:eastAsia="MS Gothic" w:hAnsiTheme="majorHAnsi"/>
          <w:bCs/>
        </w:rPr>
        <w:t>. Wymagane jest sum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 xml:space="preserve">wanie energii do rejestrów 1.8.0 </w:t>
      </w:r>
      <w:proofErr w:type="gramStart"/>
      <w:r w:rsidRPr="001F6B22">
        <w:rPr>
          <w:rFonts w:asciiTheme="majorHAnsi" w:eastAsia="MS Gothic" w:hAnsiTheme="majorHAnsi"/>
          <w:bCs/>
        </w:rPr>
        <w:t>i</w:t>
      </w:r>
      <w:proofErr w:type="gramEnd"/>
      <w:r w:rsidRPr="001F6B22">
        <w:rPr>
          <w:rFonts w:asciiTheme="majorHAnsi" w:eastAsia="MS Gothic" w:hAnsiTheme="majorHAnsi"/>
          <w:bCs/>
        </w:rPr>
        <w:t xml:space="preserve"> 2.8.0 </w:t>
      </w:r>
      <w:proofErr w:type="gramStart"/>
      <w:r w:rsidRPr="001F6B22">
        <w:rPr>
          <w:rFonts w:asciiTheme="majorHAnsi" w:eastAsia="MS Gothic" w:hAnsiTheme="majorHAnsi"/>
          <w:bCs/>
        </w:rPr>
        <w:t>w</w:t>
      </w:r>
      <w:proofErr w:type="gramEnd"/>
      <w:r w:rsidRPr="001F6B22">
        <w:rPr>
          <w:rFonts w:asciiTheme="majorHAnsi" w:eastAsia="MS Gothic" w:hAnsiTheme="majorHAnsi"/>
          <w:bCs/>
        </w:rPr>
        <w:t xml:space="preserve"> zależności od wypadkowego kierunku przepływu energii na trzech fazach łącznie.</w:t>
      </w:r>
    </w:p>
    <w:p w14:paraId="2D970AE8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biernej - muszą być rejestrowane z </w:t>
      </w:r>
      <w:proofErr w:type="gramStart"/>
      <w:r w:rsidRPr="001F6B22">
        <w:rPr>
          <w:rFonts w:asciiTheme="majorHAnsi" w:eastAsia="MS Gothic" w:hAnsiTheme="majorHAnsi"/>
          <w:bCs/>
        </w:rPr>
        <w:t>dokładnością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do 1 (jednej) </w:t>
      </w:r>
      <w:proofErr w:type="spellStart"/>
      <w:r w:rsidRPr="001F6B22">
        <w:rPr>
          <w:rFonts w:asciiTheme="majorHAnsi" w:eastAsia="MS Gothic" w:hAnsiTheme="majorHAnsi"/>
          <w:bCs/>
        </w:rPr>
        <w:t>varh</w:t>
      </w:r>
      <w:proofErr w:type="spellEnd"/>
      <w:r w:rsidRPr="001F6B22">
        <w:rPr>
          <w:rFonts w:asciiTheme="majorHAnsi" w:eastAsia="MS Gothic" w:hAnsiTheme="majorHAnsi"/>
          <w:bCs/>
        </w:rPr>
        <w:t>. Wymagane jest sum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 xml:space="preserve">wanie energii do rejestrów 3.8.0 </w:t>
      </w:r>
      <w:proofErr w:type="gramStart"/>
      <w:r w:rsidRPr="001F6B22">
        <w:rPr>
          <w:rFonts w:asciiTheme="majorHAnsi" w:eastAsia="MS Gothic" w:hAnsiTheme="majorHAnsi"/>
          <w:bCs/>
        </w:rPr>
        <w:t>i</w:t>
      </w:r>
      <w:proofErr w:type="gramEnd"/>
      <w:r w:rsidRPr="001F6B22">
        <w:rPr>
          <w:rFonts w:asciiTheme="majorHAnsi" w:eastAsia="MS Gothic" w:hAnsiTheme="majorHAnsi"/>
          <w:bCs/>
        </w:rPr>
        <w:t xml:space="preserve"> 4.8.0, </w:t>
      </w:r>
      <w:proofErr w:type="gramStart"/>
      <w:r w:rsidRPr="001F6B22">
        <w:rPr>
          <w:rFonts w:asciiTheme="majorHAnsi" w:eastAsia="MS Gothic" w:hAnsiTheme="majorHAnsi"/>
          <w:bCs/>
        </w:rPr>
        <w:t>w</w:t>
      </w:r>
      <w:proofErr w:type="gramEnd"/>
      <w:r w:rsidRPr="001F6B22">
        <w:rPr>
          <w:rFonts w:asciiTheme="majorHAnsi" w:eastAsia="MS Gothic" w:hAnsiTheme="majorHAnsi"/>
          <w:bCs/>
        </w:rPr>
        <w:t xml:space="preserve"> zależności od wypadkowego kierunku przepływu energii na trzech fazach łącznie.</w:t>
      </w:r>
    </w:p>
    <w:p w14:paraId="168A206E" w14:textId="77777777" w:rsidR="00386AC4" w:rsidRPr="001F6B22" w:rsidRDefault="00386AC4" w:rsidP="00232859">
      <w:pPr>
        <w:widowControl w:val="0"/>
        <w:numPr>
          <w:ilvl w:val="2"/>
          <w:numId w:val="7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pozornej - muszą być rejestrowane w </w:t>
      </w:r>
      <w:proofErr w:type="spellStart"/>
      <w:r w:rsidRPr="001F6B22">
        <w:rPr>
          <w:rFonts w:asciiTheme="majorHAnsi" w:eastAsia="MS Gothic" w:hAnsiTheme="majorHAnsi"/>
          <w:bCs/>
        </w:rPr>
        <w:t>kVAh</w:t>
      </w:r>
      <w:proofErr w:type="spellEnd"/>
      <w:r w:rsidRPr="001F6B22">
        <w:rPr>
          <w:rFonts w:asciiTheme="majorHAnsi" w:eastAsia="MS Gothic" w:hAnsiTheme="majorHAnsi"/>
          <w:bCs/>
        </w:rPr>
        <w:t xml:space="preserve"> z </w:t>
      </w:r>
      <w:proofErr w:type="gramStart"/>
      <w:r w:rsidRPr="001F6B22">
        <w:rPr>
          <w:rFonts w:asciiTheme="majorHAnsi" w:eastAsia="MS Gothic" w:hAnsiTheme="majorHAnsi"/>
          <w:bCs/>
        </w:rPr>
        <w:t>precyzją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do 1 (jednej) </w:t>
      </w:r>
      <w:proofErr w:type="spellStart"/>
      <w:r w:rsidRPr="001F6B22">
        <w:rPr>
          <w:rFonts w:asciiTheme="majorHAnsi" w:eastAsia="MS Gothic" w:hAnsiTheme="majorHAnsi"/>
          <w:bCs/>
        </w:rPr>
        <w:t>VAh</w:t>
      </w:r>
      <w:proofErr w:type="spellEnd"/>
      <w:r w:rsidRPr="001F6B22">
        <w:rPr>
          <w:rFonts w:asciiTheme="majorHAnsi" w:eastAsia="MS Gothic" w:hAnsiTheme="majorHAnsi"/>
          <w:bCs/>
        </w:rPr>
        <w:t xml:space="preserve">. Wymagane jest sumowanie mocy do rejestrów 9.8.0 </w:t>
      </w:r>
      <w:proofErr w:type="gramStart"/>
      <w:r w:rsidRPr="001F6B22">
        <w:rPr>
          <w:rFonts w:asciiTheme="majorHAnsi" w:eastAsia="MS Gothic" w:hAnsiTheme="majorHAnsi"/>
          <w:bCs/>
        </w:rPr>
        <w:t>i</w:t>
      </w:r>
      <w:proofErr w:type="gramEnd"/>
      <w:r w:rsidRPr="001F6B22">
        <w:rPr>
          <w:rFonts w:asciiTheme="majorHAnsi" w:eastAsia="MS Gothic" w:hAnsiTheme="majorHAnsi"/>
          <w:bCs/>
        </w:rPr>
        <w:t xml:space="preserve"> 10.8.0 </w:t>
      </w:r>
      <w:proofErr w:type="gramStart"/>
      <w:r w:rsidRPr="001F6B22">
        <w:rPr>
          <w:rFonts w:asciiTheme="majorHAnsi" w:eastAsia="MS Gothic" w:hAnsiTheme="majorHAnsi"/>
          <w:bCs/>
        </w:rPr>
        <w:t>w</w:t>
      </w:r>
      <w:proofErr w:type="gramEnd"/>
      <w:r w:rsidRPr="001F6B22">
        <w:rPr>
          <w:rFonts w:asciiTheme="majorHAnsi" w:eastAsia="MS Gothic" w:hAnsiTheme="majorHAnsi"/>
          <w:bCs/>
        </w:rPr>
        <w:t xml:space="preserve"> zależności od wypadkowego kierunku przepływu energii na trzech fazach łącznie.</w:t>
      </w:r>
    </w:p>
    <w:p w14:paraId="4C0ACDA3" w14:textId="77777777" w:rsidR="00386AC4" w:rsidRPr="001F6B22" w:rsidRDefault="00386AC4" w:rsidP="00232859">
      <w:pPr>
        <w:widowControl w:val="0"/>
        <w:numPr>
          <w:ilvl w:val="1"/>
          <w:numId w:val="14"/>
        </w:numPr>
        <w:spacing w:after="60"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57FD076" w14:textId="77777777" w:rsidR="00386AC4" w:rsidRPr="001F6B22" w:rsidRDefault="00386AC4" w:rsidP="00232859">
      <w:pPr>
        <w:widowControl w:val="0"/>
        <w:numPr>
          <w:ilvl w:val="1"/>
          <w:numId w:val="1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  <w:bCs/>
        </w:rPr>
        <w:t xml:space="preserve">Licznik musi </w:t>
      </w:r>
      <w:r w:rsidRPr="001F6B22">
        <w:rPr>
          <w:rFonts w:asciiTheme="majorHAnsi" w:hAnsiTheme="majorHAnsi"/>
          <w:bCs/>
          <w:u w:val="single"/>
        </w:rPr>
        <w:t>udostępniać zgodnie z normą PN</w:t>
      </w:r>
      <w:proofErr w:type="gramStart"/>
      <w:r w:rsidRPr="001F6B22">
        <w:rPr>
          <w:rFonts w:asciiTheme="majorHAnsi" w:hAnsiTheme="majorHAnsi"/>
          <w:bCs/>
          <w:u w:val="single"/>
        </w:rPr>
        <w:t>:EN</w:t>
      </w:r>
      <w:proofErr w:type="gramEnd"/>
      <w:r w:rsidRPr="001F6B22">
        <w:rPr>
          <w:rFonts w:asciiTheme="majorHAnsi" w:hAnsiTheme="majorHAnsi"/>
          <w:bCs/>
          <w:u w:val="single"/>
        </w:rPr>
        <w:t xml:space="preserve"> 62056-6-1 na potrzeby Systemu Centralnego dane opisane w pkt 2.3.-2.5.</w:t>
      </w:r>
    </w:p>
    <w:p w14:paraId="2D6520B5" w14:textId="77777777" w:rsidR="00386AC4" w:rsidRPr="001F6B22" w:rsidRDefault="00386AC4" w:rsidP="00232859">
      <w:pPr>
        <w:widowControl w:val="0"/>
        <w:numPr>
          <w:ilvl w:val="0"/>
          <w:numId w:val="16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bookmarkStart w:id="5" w:name="_Ref399441853"/>
      <w:r w:rsidRPr="001F6B22">
        <w:rPr>
          <w:rFonts w:asciiTheme="majorHAnsi" w:eastAsia="MS Gothic" w:hAnsiTheme="majorHAnsi"/>
          <w:b/>
          <w:bCs/>
        </w:rPr>
        <w:t>Konfiguracja licznika</w:t>
      </w:r>
      <w:bookmarkEnd w:id="5"/>
    </w:p>
    <w:p w14:paraId="1BA483DE" w14:textId="77777777" w:rsidR="00386AC4" w:rsidRPr="001F6B22" w:rsidRDefault="00386AC4" w:rsidP="00232859">
      <w:pPr>
        <w:widowControl w:val="0"/>
        <w:numPr>
          <w:ilvl w:val="1"/>
          <w:numId w:val="10"/>
        </w:numPr>
        <w:spacing w:after="60" w:line="260" w:lineRule="exact"/>
        <w:jc w:val="both"/>
        <w:rPr>
          <w:rFonts w:asciiTheme="majorHAnsi" w:hAnsiTheme="majorHAnsi"/>
          <w:bCs/>
        </w:rPr>
      </w:pPr>
      <w:r w:rsidRPr="001F6B22">
        <w:rPr>
          <w:rFonts w:asciiTheme="majorHAnsi" w:eastAsia="MS Gothic" w:hAnsiTheme="majorHAnsi"/>
          <w:bCs/>
        </w:rPr>
        <w:t>Jakiekolwiek zakłócenie lub przerwanie komunikacji w procesie parametryzacji licznika lub zmiany jego opr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gramowania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), nie może powodować uszkodzenia licznika lub wprowadzenia go w stan powodujący jego błędne działanie, w tym niezgodne z dotychczasową parametryzacją lub zmienianym 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. </w:t>
      </w:r>
      <w:r w:rsidRPr="001F6B22">
        <w:rPr>
          <w:rFonts w:asciiTheme="majorHAnsi" w:hAnsiTheme="majorHAnsi" w:cs="Calibri"/>
        </w:rPr>
        <w:t>Parametr</w:t>
      </w:r>
      <w:r w:rsidRPr="001F6B22">
        <w:rPr>
          <w:rFonts w:asciiTheme="majorHAnsi" w:hAnsiTheme="majorHAnsi" w:cs="Calibri"/>
        </w:rPr>
        <w:t>y</w:t>
      </w:r>
      <w:r w:rsidRPr="001F6B22">
        <w:rPr>
          <w:rFonts w:asciiTheme="majorHAnsi" w:hAnsiTheme="majorHAnsi" w:cs="Calibri"/>
        </w:rPr>
        <w:t xml:space="preserve">zacja licznika i zmiana oprogramowania musi odbywać się zgodnie z procedurą parametryzacji </w:t>
      </w:r>
      <w:proofErr w:type="gramStart"/>
      <w:r w:rsidRPr="001F6B22">
        <w:rPr>
          <w:rFonts w:asciiTheme="majorHAnsi" w:hAnsiTheme="majorHAnsi" w:cs="Calibri"/>
        </w:rPr>
        <w:t>sesyjnej co</w:t>
      </w:r>
      <w:proofErr w:type="gramEnd"/>
      <w:r w:rsidRPr="001F6B22">
        <w:rPr>
          <w:rFonts w:asciiTheme="majorHAnsi" w:hAnsiTheme="majorHAnsi" w:cs="Calibri"/>
        </w:rPr>
        <w:t xml:space="preserve"> oznacza, że jakiekolwiek zakłócenie lub przerwanie komunikacji w procesie parametryzacji licznika lub zmiany jego </w:t>
      </w:r>
      <w:proofErr w:type="spellStart"/>
      <w:r w:rsidRPr="001F6B22">
        <w:rPr>
          <w:rFonts w:asciiTheme="majorHAnsi" w:hAnsiTheme="majorHAnsi" w:cs="Calibri"/>
        </w:rPr>
        <w:t>firmware</w:t>
      </w:r>
      <w:proofErr w:type="spellEnd"/>
      <w:r w:rsidRPr="001F6B22">
        <w:rPr>
          <w:rFonts w:asciiTheme="majorHAnsi" w:hAnsiTheme="majorHAnsi" w:cs="Calibri"/>
        </w:rPr>
        <w:t xml:space="preserve"> nie może powodować uszkodzenia licznika lub wprowadzenia go w stan powodujący jego błędne działanie, w tym niezgodne z dotychczasową parametryzacją lub zmienianym </w:t>
      </w:r>
      <w:proofErr w:type="spellStart"/>
      <w:r w:rsidRPr="001F6B22">
        <w:rPr>
          <w:rFonts w:asciiTheme="majorHAnsi" w:hAnsiTheme="majorHAnsi" w:cs="Calibri"/>
        </w:rPr>
        <w:t>firmware</w:t>
      </w:r>
      <w:proofErr w:type="spellEnd"/>
      <w:r w:rsidRPr="001F6B22">
        <w:rPr>
          <w:rFonts w:asciiTheme="majorHAnsi" w:hAnsiTheme="majorHAnsi" w:cs="Calibri"/>
        </w:rPr>
        <w:t>. W takim wypadku lic</w:t>
      </w:r>
      <w:r w:rsidRPr="001F6B22">
        <w:rPr>
          <w:rFonts w:asciiTheme="majorHAnsi" w:hAnsiTheme="majorHAnsi" w:cs="Calibri"/>
        </w:rPr>
        <w:t>z</w:t>
      </w:r>
      <w:r w:rsidRPr="001F6B22">
        <w:rPr>
          <w:rFonts w:asciiTheme="majorHAnsi" w:hAnsiTheme="majorHAnsi" w:cs="Calibri"/>
        </w:rPr>
        <w:t xml:space="preserve">nika musi zachować wszystkie ustawienia sprzed parametryzacji, a oprogramowanie </w:t>
      </w:r>
      <w:proofErr w:type="spellStart"/>
      <w:r w:rsidRPr="001F6B22">
        <w:rPr>
          <w:rFonts w:asciiTheme="majorHAnsi" w:hAnsiTheme="majorHAnsi" w:cs="Calibri"/>
        </w:rPr>
        <w:t>parametryzacyjne</w:t>
      </w:r>
      <w:proofErr w:type="spellEnd"/>
      <w:r w:rsidRPr="001F6B22">
        <w:rPr>
          <w:rFonts w:asciiTheme="majorHAnsi" w:hAnsiTheme="majorHAnsi" w:cs="Calibri"/>
        </w:rPr>
        <w:t xml:space="preserve"> musi </w:t>
      </w:r>
      <w:proofErr w:type="gramStart"/>
      <w:r w:rsidRPr="001F6B22">
        <w:rPr>
          <w:rFonts w:asciiTheme="majorHAnsi" w:hAnsiTheme="majorHAnsi" w:cs="Calibri"/>
        </w:rPr>
        <w:t>sygnalizować że</w:t>
      </w:r>
      <w:proofErr w:type="gramEnd"/>
      <w:r w:rsidRPr="001F6B22">
        <w:rPr>
          <w:rFonts w:asciiTheme="majorHAnsi" w:hAnsiTheme="majorHAnsi" w:cs="Calibri"/>
        </w:rPr>
        <w:t xml:space="preserve"> parametryzacja nie została w całości zakończona i informować o konieczności jej powtórnego wprowadzenia do licznika.</w:t>
      </w:r>
    </w:p>
    <w:p w14:paraId="11639366" w14:textId="77777777" w:rsidR="00386AC4" w:rsidRPr="001F6B22" w:rsidRDefault="00386AC4" w:rsidP="00232859">
      <w:pPr>
        <w:widowControl w:val="0"/>
        <w:numPr>
          <w:ilvl w:val="1"/>
          <w:numId w:val="1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Oprogramowanie winno informować odpowiednio o sposobie zakończenia procesu parametryzacji licznika l</w:t>
      </w:r>
      <w:r w:rsidRPr="001F6B22">
        <w:rPr>
          <w:rFonts w:asciiTheme="majorHAnsi" w:hAnsiTheme="majorHAnsi" w:cs="Calibri"/>
        </w:rPr>
        <w:t>ub zmiany oprogramowania</w:t>
      </w:r>
      <w:r w:rsidRPr="001F6B22">
        <w:rPr>
          <w:rFonts w:asciiTheme="majorHAnsi" w:eastAsia="MS Gothic" w:hAnsiTheme="majorHAnsi"/>
          <w:bCs/>
        </w:rPr>
        <w:t>.</w:t>
      </w:r>
    </w:p>
    <w:p w14:paraId="341A68ED" w14:textId="77777777" w:rsidR="00386AC4" w:rsidRPr="001F6B22" w:rsidRDefault="00386AC4" w:rsidP="00232859">
      <w:pPr>
        <w:widowControl w:val="0"/>
        <w:numPr>
          <w:ilvl w:val="1"/>
          <w:numId w:val="1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mieć możliwość: </w:t>
      </w:r>
    </w:p>
    <w:p w14:paraId="743820C4" w14:textId="2AE0EEE5" w:rsidR="00386AC4" w:rsidRPr="001F6B22" w:rsidRDefault="00386AC4" w:rsidP="00232859">
      <w:pPr>
        <w:widowControl w:val="0"/>
        <w:numPr>
          <w:ilvl w:val="2"/>
          <w:numId w:val="10"/>
        </w:numPr>
        <w:spacing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automatycznego</w:t>
      </w:r>
      <w:proofErr w:type="gramEnd"/>
      <w:r w:rsidRPr="001F6B22">
        <w:rPr>
          <w:rFonts w:asciiTheme="majorHAnsi" w:eastAsia="MS Gothic" w:hAnsiTheme="majorHAnsi"/>
          <w:bCs/>
        </w:rPr>
        <w:t xml:space="preserve"> zatrzaskiwania stanów liczydeł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 xml:space="preserve">zgodnie z punktem </w:t>
      </w:r>
      <w:r w:rsidRPr="001F6B22">
        <w:rPr>
          <w:rFonts w:asciiTheme="majorHAnsi" w:eastAsia="MS Gothic" w:hAnsiTheme="majorHAnsi"/>
          <w:bCs/>
        </w:rPr>
        <w:fldChar w:fldCharType="begin"/>
      </w:r>
      <w:r w:rsidRPr="001F6B22">
        <w:rPr>
          <w:rFonts w:asciiTheme="majorHAnsi" w:eastAsia="MS Gothic" w:hAnsiTheme="majorHAnsi"/>
          <w:bCs/>
        </w:rPr>
        <w:instrText xml:space="preserve"> REF _Ref271542286 \n \h  \* MERGEFORMAT </w:instrText>
      </w:r>
      <w:r w:rsidRPr="001F6B22">
        <w:rPr>
          <w:rFonts w:asciiTheme="majorHAnsi" w:eastAsia="MS Gothic" w:hAnsiTheme="majorHAnsi"/>
          <w:bCs/>
        </w:rPr>
      </w:r>
      <w:r w:rsidRPr="001F6B22">
        <w:rPr>
          <w:rFonts w:asciiTheme="majorHAnsi" w:eastAsia="MS Gothic" w:hAnsiTheme="majorHAnsi"/>
          <w:bCs/>
        </w:rPr>
        <w:fldChar w:fldCharType="separate"/>
      </w:r>
      <w:r w:rsidRPr="001F6B22">
        <w:rPr>
          <w:rFonts w:asciiTheme="majorHAnsi" w:eastAsia="MS Gothic" w:hAnsiTheme="majorHAnsi"/>
          <w:bCs/>
        </w:rPr>
        <w:t>2.3.6</w:t>
      </w:r>
      <w:r w:rsidRPr="001F6B22">
        <w:rPr>
          <w:rFonts w:asciiTheme="majorHAnsi" w:eastAsia="MS Gothic" w:hAnsiTheme="majorHAnsi"/>
          <w:bCs/>
        </w:rPr>
        <w:fldChar w:fldCharType="end"/>
      </w:r>
      <w:r w:rsidRPr="001F6B22">
        <w:rPr>
          <w:rFonts w:asciiTheme="majorHAnsi" w:eastAsia="MS Gothic" w:hAnsiTheme="majorHAnsi"/>
          <w:bCs/>
        </w:rPr>
        <w:t>. Stany muszą być przechow</w:t>
      </w:r>
      <w:r w:rsidRPr="001F6B22">
        <w:rPr>
          <w:rFonts w:asciiTheme="majorHAnsi" w:eastAsia="MS Gothic" w:hAnsiTheme="majorHAnsi"/>
          <w:bCs/>
        </w:rPr>
        <w:t>y</w:t>
      </w:r>
      <w:r w:rsidRPr="001F6B22">
        <w:rPr>
          <w:rFonts w:asciiTheme="majorHAnsi" w:eastAsia="MS Gothic" w:hAnsiTheme="majorHAnsi"/>
          <w:bCs/>
        </w:rPr>
        <w:t xml:space="preserve">wane przez </w:t>
      </w:r>
      <w:proofErr w:type="gramStart"/>
      <w:r w:rsidRPr="001F6B22">
        <w:rPr>
          <w:rFonts w:asciiTheme="majorHAnsi" w:eastAsia="MS Gothic" w:hAnsiTheme="majorHAnsi"/>
          <w:bCs/>
        </w:rPr>
        <w:t>okres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45 cykli określonych w punkcie 2.3.3,</w:t>
      </w:r>
    </w:p>
    <w:p w14:paraId="284DE2C9" w14:textId="77777777" w:rsidR="00386AC4" w:rsidRPr="001F6B22" w:rsidRDefault="00386AC4" w:rsidP="00232859">
      <w:pPr>
        <w:widowControl w:val="0"/>
        <w:numPr>
          <w:ilvl w:val="2"/>
          <w:numId w:val="74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F01FBEE" w14:textId="77777777" w:rsidR="00386AC4" w:rsidRPr="001F6B22" w:rsidRDefault="00386AC4" w:rsidP="00232859">
      <w:pPr>
        <w:widowControl w:val="0"/>
        <w:numPr>
          <w:ilvl w:val="3"/>
          <w:numId w:val="74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A2ABB2C" w14:textId="77777777" w:rsidR="00386AC4" w:rsidRPr="001F6B22" w:rsidRDefault="00386AC4" w:rsidP="00232859">
      <w:pPr>
        <w:widowControl w:val="0"/>
        <w:numPr>
          <w:ilvl w:val="3"/>
          <w:numId w:val="74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45B3510" w14:textId="77777777" w:rsidR="00386AC4" w:rsidRPr="001F6B22" w:rsidRDefault="00386AC4" w:rsidP="00232859">
      <w:pPr>
        <w:widowControl w:val="0"/>
        <w:numPr>
          <w:ilvl w:val="3"/>
          <w:numId w:val="74"/>
        </w:numPr>
        <w:spacing w:after="60"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A0F9BD9" w14:textId="77777777" w:rsidR="00386AC4" w:rsidRPr="001F6B22" w:rsidRDefault="00386AC4" w:rsidP="00232859">
      <w:pPr>
        <w:widowControl w:val="0"/>
        <w:numPr>
          <w:ilvl w:val="2"/>
          <w:numId w:val="7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zdalnego</w:t>
      </w:r>
      <w:proofErr w:type="gramEnd"/>
      <w:r w:rsidRPr="001F6B22">
        <w:rPr>
          <w:rFonts w:asciiTheme="majorHAnsi" w:eastAsia="MS Gothic" w:hAnsiTheme="majorHAnsi"/>
          <w:bCs/>
        </w:rPr>
        <w:t xml:space="preserve"> i lokalnego ustawienia w liczniku daty i czasu,</w:t>
      </w:r>
    </w:p>
    <w:p w14:paraId="73DAC98B" w14:textId="77777777" w:rsidR="00386AC4" w:rsidRPr="001F6B22" w:rsidRDefault="00386AC4" w:rsidP="00232859">
      <w:pPr>
        <w:widowControl w:val="0"/>
        <w:numPr>
          <w:ilvl w:val="2"/>
          <w:numId w:val="7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udostępnienia</w:t>
      </w:r>
      <w:proofErr w:type="gramEnd"/>
      <w:r w:rsidRPr="001F6B22">
        <w:rPr>
          <w:rFonts w:asciiTheme="majorHAnsi" w:eastAsia="MS Gothic" w:hAnsiTheme="majorHAnsi"/>
          <w:bCs/>
        </w:rPr>
        <w:t xml:space="preserve"> zdalnie i lokalnie ustawień wszystkich parametrów licznika,</w:t>
      </w:r>
    </w:p>
    <w:p w14:paraId="2B72C10C" w14:textId="77777777" w:rsidR="00386AC4" w:rsidRPr="001F6B22" w:rsidRDefault="00386AC4" w:rsidP="00232859">
      <w:pPr>
        <w:widowControl w:val="0"/>
        <w:numPr>
          <w:ilvl w:val="2"/>
          <w:numId w:val="7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zdalnego</w:t>
      </w:r>
      <w:proofErr w:type="gramEnd"/>
      <w:r w:rsidRPr="001F6B22">
        <w:rPr>
          <w:rFonts w:asciiTheme="majorHAnsi" w:eastAsia="MS Gothic" w:hAnsiTheme="majorHAnsi"/>
          <w:bCs/>
        </w:rPr>
        <w:t xml:space="preserve"> i lokalnego dostępu do wszystkich wartości i informacji o zdarzeniach udostępnianych przez licznik oraz do wszystkich funkcji oferowanych przez licznik,</w:t>
      </w:r>
    </w:p>
    <w:p w14:paraId="6C64C465" w14:textId="77777777" w:rsidR="00386AC4" w:rsidRPr="001F6B22" w:rsidRDefault="00386AC4" w:rsidP="00232859">
      <w:pPr>
        <w:widowControl w:val="0"/>
        <w:numPr>
          <w:ilvl w:val="2"/>
          <w:numId w:val="17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0CF4B21" w14:textId="77777777" w:rsidR="00386AC4" w:rsidRPr="001F6B22" w:rsidRDefault="00386AC4" w:rsidP="00232859">
      <w:pPr>
        <w:widowControl w:val="0"/>
        <w:numPr>
          <w:ilvl w:val="0"/>
          <w:numId w:val="17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>Wykrywanie i rejestracja zdarzeń</w:t>
      </w:r>
    </w:p>
    <w:p w14:paraId="5B821551" w14:textId="77777777" w:rsidR="00386AC4" w:rsidRPr="001F6B22" w:rsidRDefault="00386AC4" w:rsidP="00232859">
      <w:pPr>
        <w:widowControl w:val="0"/>
        <w:numPr>
          <w:ilvl w:val="1"/>
          <w:numId w:val="18"/>
        </w:numPr>
        <w:spacing w:line="260" w:lineRule="exact"/>
        <w:jc w:val="both"/>
        <w:rPr>
          <w:rFonts w:asciiTheme="majorHAnsi" w:eastAsia="MS Gothic" w:hAnsiTheme="majorHAnsi"/>
          <w:bCs/>
        </w:rPr>
      </w:pPr>
      <w:bookmarkStart w:id="6" w:name="_Ref395773045"/>
      <w:r w:rsidRPr="001F6B22">
        <w:rPr>
          <w:rFonts w:asciiTheme="majorHAnsi" w:eastAsia="MS Gothic" w:hAnsiTheme="majorHAnsi"/>
          <w:bCs/>
        </w:rPr>
        <w:t xml:space="preserve">Licznik musi </w:t>
      </w:r>
      <w:proofErr w:type="gramStart"/>
      <w:r w:rsidRPr="001F6B22">
        <w:rPr>
          <w:rFonts w:asciiTheme="majorHAnsi" w:eastAsia="MS Gothic" w:hAnsiTheme="majorHAnsi"/>
          <w:bCs/>
        </w:rPr>
        <w:t>rejestrować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następujące informacje o zdarzeniach:</w:t>
      </w:r>
      <w:bookmarkEnd w:id="6"/>
    </w:p>
    <w:p w14:paraId="2878A6A9" w14:textId="77777777" w:rsidR="00386AC4" w:rsidRPr="001F6B22" w:rsidRDefault="00386AC4" w:rsidP="00232859">
      <w:pPr>
        <w:widowControl w:val="0"/>
        <w:numPr>
          <w:ilvl w:val="2"/>
          <w:numId w:val="1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79E59E4" w14:textId="77777777" w:rsidR="00386AC4" w:rsidRPr="001F6B22" w:rsidRDefault="00386AC4" w:rsidP="00232859">
      <w:pPr>
        <w:widowControl w:val="0"/>
        <w:numPr>
          <w:ilvl w:val="2"/>
          <w:numId w:val="1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0EB5805" w14:textId="77777777" w:rsidR="00386AC4" w:rsidRPr="001F6B22" w:rsidRDefault="00386AC4" w:rsidP="00232859">
      <w:pPr>
        <w:widowControl w:val="0"/>
        <w:numPr>
          <w:ilvl w:val="2"/>
          <w:numId w:val="1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F9C89A3" w14:textId="77777777" w:rsidR="00386AC4" w:rsidRPr="001F6B22" w:rsidRDefault="00386AC4" w:rsidP="00232859">
      <w:pPr>
        <w:widowControl w:val="0"/>
        <w:numPr>
          <w:ilvl w:val="2"/>
          <w:numId w:val="1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359198A" w14:textId="77777777" w:rsidR="00386AC4" w:rsidRPr="001F6B22" w:rsidRDefault="00386AC4" w:rsidP="00232859">
      <w:pPr>
        <w:widowControl w:val="0"/>
        <w:numPr>
          <w:ilvl w:val="2"/>
          <w:numId w:val="1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C35AF8D" w14:textId="77777777" w:rsidR="00386AC4" w:rsidRPr="001F6B22" w:rsidRDefault="00386AC4" w:rsidP="00232859">
      <w:pPr>
        <w:widowControl w:val="0"/>
        <w:numPr>
          <w:ilvl w:val="2"/>
          <w:numId w:val="2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obniżenie</w:t>
      </w:r>
      <w:proofErr w:type="gramEnd"/>
      <w:r w:rsidRPr="001F6B22">
        <w:rPr>
          <w:rFonts w:asciiTheme="majorHAnsi" w:eastAsia="MS Gothic" w:hAnsiTheme="majorHAnsi"/>
          <w:bCs/>
        </w:rPr>
        <w:t xml:space="preserve"> i podwyższenie napięcia zgodnie z pkt 3 Załącznika nr 1,</w:t>
      </w:r>
    </w:p>
    <w:p w14:paraId="629CAE0E" w14:textId="77777777" w:rsidR="00386AC4" w:rsidRPr="001F6B22" w:rsidRDefault="00386AC4" w:rsidP="00232859">
      <w:pPr>
        <w:widowControl w:val="0"/>
        <w:numPr>
          <w:ilvl w:val="2"/>
          <w:numId w:val="21"/>
        </w:numPr>
        <w:spacing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zaniki</w:t>
      </w:r>
      <w:proofErr w:type="gramEnd"/>
      <w:r w:rsidRPr="001F6B22">
        <w:rPr>
          <w:rFonts w:asciiTheme="majorHAnsi" w:eastAsia="MS Gothic" w:hAnsiTheme="majorHAnsi"/>
          <w:bCs/>
        </w:rPr>
        <w:t xml:space="preserve"> i powroty napięcia zasilającego dla każdej z faz,</w:t>
      </w:r>
    </w:p>
    <w:p w14:paraId="2FCE366A" w14:textId="77777777" w:rsidR="00386AC4" w:rsidRPr="001F6B22" w:rsidRDefault="00386AC4" w:rsidP="00232859">
      <w:pPr>
        <w:widowControl w:val="0"/>
        <w:numPr>
          <w:ilvl w:val="2"/>
          <w:numId w:val="2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50A467E" w14:textId="77777777" w:rsidR="00386AC4" w:rsidRPr="001F6B22" w:rsidRDefault="00386AC4" w:rsidP="00232859">
      <w:pPr>
        <w:widowControl w:val="0"/>
        <w:numPr>
          <w:ilvl w:val="2"/>
          <w:numId w:val="2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63F1C46" w14:textId="77777777" w:rsidR="00386AC4" w:rsidRPr="001F6B22" w:rsidRDefault="00386AC4" w:rsidP="00232859">
      <w:pPr>
        <w:widowControl w:val="0"/>
        <w:numPr>
          <w:ilvl w:val="2"/>
          <w:numId w:val="2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E2C94B9" w14:textId="77777777" w:rsidR="00386AC4" w:rsidRPr="001F6B22" w:rsidRDefault="00386AC4" w:rsidP="00232859">
      <w:pPr>
        <w:widowControl w:val="0"/>
        <w:numPr>
          <w:ilvl w:val="2"/>
          <w:numId w:val="2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usterki</w:t>
      </w:r>
      <w:proofErr w:type="gramEnd"/>
      <w:r w:rsidRPr="001F6B22">
        <w:rPr>
          <w:rFonts w:asciiTheme="majorHAnsi" w:eastAsia="MS Gothic" w:hAnsiTheme="majorHAnsi"/>
          <w:bCs/>
        </w:rPr>
        <w:t xml:space="preserve"> wewnętrzne licznika skutkujące jego nieprawidłowym działaniem (wektor flag bitowych),</w:t>
      </w:r>
    </w:p>
    <w:p w14:paraId="0F52819C" w14:textId="77777777" w:rsidR="00386AC4" w:rsidRPr="001F6B22" w:rsidRDefault="00386AC4" w:rsidP="00232859">
      <w:pPr>
        <w:widowControl w:val="0"/>
        <w:numPr>
          <w:ilvl w:val="2"/>
          <w:numId w:val="2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zmiana</w:t>
      </w:r>
      <w:proofErr w:type="gramEnd"/>
      <w:r w:rsidRPr="001F6B22">
        <w:rPr>
          <w:rFonts w:asciiTheme="majorHAnsi" w:eastAsia="MS Gothic" w:hAnsiTheme="majorHAnsi"/>
          <w:bCs/>
        </w:rPr>
        <w:t xml:space="preserve"> parametryzacji licznika,</w:t>
      </w:r>
    </w:p>
    <w:p w14:paraId="6B42EFA6" w14:textId="77777777" w:rsidR="00386AC4" w:rsidRPr="001F6B22" w:rsidRDefault="00386AC4" w:rsidP="00232859">
      <w:pPr>
        <w:widowControl w:val="0"/>
        <w:numPr>
          <w:ilvl w:val="2"/>
          <w:numId w:val="2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modyfikacja</w:t>
      </w:r>
      <w:proofErr w:type="gramEnd"/>
      <w:r w:rsidRPr="001F6B22">
        <w:rPr>
          <w:rFonts w:asciiTheme="majorHAnsi" w:eastAsia="MS Gothic" w:hAnsiTheme="majorHAnsi"/>
          <w:bCs/>
        </w:rPr>
        <w:t xml:space="preserve"> i wymiana oprogramowania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>) licznika,</w:t>
      </w:r>
    </w:p>
    <w:p w14:paraId="52F92B61" w14:textId="77777777" w:rsidR="00386AC4" w:rsidRPr="001F6B22" w:rsidRDefault="00386AC4" w:rsidP="00232859">
      <w:pPr>
        <w:widowControl w:val="0"/>
        <w:numPr>
          <w:ilvl w:val="1"/>
          <w:numId w:val="2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Każda informacja o zdarzeniu zarejestrowana przez licznik musi być </w:t>
      </w:r>
      <w:proofErr w:type="gramStart"/>
      <w:r w:rsidRPr="001F6B22">
        <w:rPr>
          <w:rFonts w:asciiTheme="majorHAnsi" w:eastAsia="MS Gothic" w:hAnsiTheme="majorHAnsi"/>
          <w:bCs/>
        </w:rPr>
        <w:t>opisana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następującymi atryb</w:t>
      </w:r>
      <w:r w:rsidRPr="001F6B22">
        <w:rPr>
          <w:rFonts w:asciiTheme="majorHAnsi" w:eastAsia="MS Gothic" w:hAnsiTheme="majorHAnsi"/>
          <w:bCs/>
        </w:rPr>
        <w:t>u</w:t>
      </w:r>
      <w:r w:rsidRPr="001F6B22">
        <w:rPr>
          <w:rFonts w:asciiTheme="majorHAnsi" w:eastAsia="MS Gothic" w:hAnsiTheme="majorHAnsi"/>
          <w:bCs/>
        </w:rPr>
        <w:t>tami:</w:t>
      </w:r>
    </w:p>
    <w:p w14:paraId="3C01FEB5" w14:textId="77777777" w:rsidR="00386AC4" w:rsidRPr="001F6B22" w:rsidRDefault="00386AC4" w:rsidP="00232859">
      <w:pPr>
        <w:widowControl w:val="0"/>
        <w:numPr>
          <w:ilvl w:val="2"/>
          <w:numId w:val="2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data</w:t>
      </w:r>
      <w:proofErr w:type="gramEnd"/>
      <w:r w:rsidRPr="001F6B22">
        <w:rPr>
          <w:rFonts w:asciiTheme="majorHAnsi" w:eastAsia="MS Gothic" w:hAnsiTheme="majorHAnsi"/>
          <w:bCs/>
        </w:rPr>
        <w:t xml:space="preserve"> (rok, miesiąc, dzień) i czas w systemie 24h (godzinę, minutę i sekundę) wystąpienia zdarzenia lub końca okresu, dla którego zdarzenie zostało zarejestrowane,</w:t>
      </w:r>
    </w:p>
    <w:p w14:paraId="339530C2" w14:textId="77777777" w:rsidR="00386AC4" w:rsidRPr="001F6B22" w:rsidRDefault="00386AC4" w:rsidP="00232859">
      <w:pPr>
        <w:widowControl w:val="0"/>
        <w:numPr>
          <w:ilvl w:val="2"/>
          <w:numId w:val="2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kod</w:t>
      </w:r>
      <w:proofErr w:type="gramEnd"/>
      <w:r w:rsidRPr="001F6B22">
        <w:rPr>
          <w:rFonts w:asciiTheme="majorHAnsi" w:eastAsia="MS Gothic" w:hAnsiTheme="majorHAnsi"/>
          <w:bCs/>
        </w:rPr>
        <w:t xml:space="preserve"> właściwy dla zdarzenia, uwzględniający wszystkie informacje charakteryzujące zdarzenie, prze</w:t>
      </w:r>
      <w:r w:rsidRPr="001F6B22">
        <w:rPr>
          <w:rFonts w:asciiTheme="majorHAnsi" w:eastAsia="MS Gothic" w:hAnsiTheme="majorHAnsi"/>
          <w:bCs/>
        </w:rPr>
        <w:t>d</w:t>
      </w:r>
      <w:r w:rsidRPr="001F6B22">
        <w:rPr>
          <w:rFonts w:asciiTheme="majorHAnsi" w:eastAsia="MS Gothic" w:hAnsiTheme="majorHAnsi"/>
          <w:bCs/>
        </w:rPr>
        <w:t xml:space="preserve">stawiony liczbowo. </w:t>
      </w:r>
    </w:p>
    <w:p w14:paraId="25E8CCDE" w14:textId="44C74567" w:rsidR="00386AC4" w:rsidRPr="001F6B22" w:rsidRDefault="00386AC4" w:rsidP="00232859">
      <w:pPr>
        <w:widowControl w:val="0"/>
        <w:numPr>
          <w:ilvl w:val="1"/>
          <w:numId w:val="2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umożliwiać wybór do rejestracji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dowolnej kombinacji rodzajów informacji o zdarzeniach, ze wszystkich informacji o zdarzeniach możliwych do rejestracji przez licznik, opisanych w pkt</w:t>
      </w:r>
      <w:proofErr w:type="gramStart"/>
      <w:r w:rsidRPr="001F6B22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fldChar w:fldCharType="begin"/>
      </w:r>
      <w:r w:rsidRPr="001F6B22">
        <w:rPr>
          <w:rFonts w:asciiTheme="majorHAnsi" w:eastAsia="MS Gothic" w:hAnsiTheme="majorHAnsi"/>
          <w:bCs/>
        </w:rPr>
        <w:instrText xml:space="preserve"> REF _Ref395773045 \r \h  \* MERGEFORMAT </w:instrText>
      </w:r>
      <w:r w:rsidRPr="001F6B22">
        <w:rPr>
          <w:rFonts w:asciiTheme="majorHAnsi" w:eastAsia="MS Gothic" w:hAnsiTheme="majorHAnsi"/>
          <w:bCs/>
        </w:rPr>
      </w:r>
      <w:r w:rsidRPr="001F6B22">
        <w:rPr>
          <w:rFonts w:asciiTheme="majorHAnsi" w:eastAsia="MS Gothic" w:hAnsiTheme="majorHAnsi"/>
          <w:bCs/>
        </w:rPr>
        <w:fldChar w:fldCharType="separate"/>
      </w:r>
      <w:r w:rsidRPr="001F6B22">
        <w:rPr>
          <w:rFonts w:asciiTheme="majorHAnsi" w:eastAsia="MS Gothic" w:hAnsiTheme="majorHAnsi"/>
          <w:bCs/>
        </w:rPr>
        <w:t>5.1</w:t>
      </w:r>
      <w:r w:rsidRPr="001F6B22">
        <w:rPr>
          <w:rFonts w:asciiTheme="majorHAnsi" w:eastAsia="MS Gothic" w:hAnsiTheme="majorHAnsi"/>
          <w:bCs/>
        </w:rPr>
        <w:fldChar w:fldCharType="end"/>
      </w:r>
      <w:r w:rsidRPr="001F6B22">
        <w:rPr>
          <w:rFonts w:asciiTheme="majorHAnsi" w:eastAsia="MS Gothic" w:hAnsiTheme="majorHAnsi"/>
          <w:bCs/>
        </w:rPr>
        <w:t>,</w:t>
      </w:r>
      <w:proofErr w:type="gramEnd"/>
      <w:r w:rsidRPr="001F6B22">
        <w:rPr>
          <w:rFonts w:asciiTheme="majorHAnsi" w:eastAsia="MS Gothic" w:hAnsiTheme="majorHAnsi"/>
          <w:bCs/>
        </w:rPr>
        <w:t xml:space="preserve"> w celu ich ud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stępnienia na potrzeby Systemu Centralnego.</w:t>
      </w:r>
    </w:p>
    <w:p w14:paraId="500302F4" w14:textId="4A564956" w:rsidR="00386AC4" w:rsidRPr="001F6B22" w:rsidRDefault="00386AC4" w:rsidP="00232859">
      <w:pPr>
        <w:widowControl w:val="0"/>
        <w:numPr>
          <w:ilvl w:val="0"/>
          <w:numId w:val="2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</w:t>
      </w:r>
      <w:r w:rsidR="001F6B22" w:rsidRPr="001F6B22">
        <w:rPr>
          <w:rFonts w:asciiTheme="majorHAnsi" w:eastAsia="MS Gothic" w:hAnsiTheme="majorHAnsi"/>
          <w:bCs/>
          <w:color w:val="D9D9D9" w:themeColor="background1" w:themeShade="D9"/>
        </w:rPr>
        <w:t>/</w:t>
      </w:r>
    </w:p>
    <w:p w14:paraId="1E952D8C" w14:textId="77777777" w:rsidR="00386AC4" w:rsidRPr="001F6B22" w:rsidRDefault="00386AC4" w:rsidP="00232859">
      <w:pPr>
        <w:widowControl w:val="0"/>
        <w:numPr>
          <w:ilvl w:val="0"/>
          <w:numId w:val="26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>Komunikacja</w:t>
      </w:r>
    </w:p>
    <w:p w14:paraId="5C0124B5" w14:textId="77777777" w:rsidR="00386AC4" w:rsidRPr="001F6B22" w:rsidRDefault="00386AC4" w:rsidP="00232859">
      <w:pPr>
        <w:widowControl w:val="0"/>
        <w:spacing w:after="60" w:line="260" w:lineRule="exact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/>
          <w:bCs/>
        </w:rPr>
        <w:t>Wymagania ogólne</w:t>
      </w:r>
    </w:p>
    <w:p w14:paraId="32EA0D38" w14:textId="77777777" w:rsidR="00386AC4" w:rsidRPr="001F6B22" w:rsidRDefault="00386AC4" w:rsidP="00232859">
      <w:pPr>
        <w:widowControl w:val="0"/>
        <w:numPr>
          <w:ilvl w:val="1"/>
          <w:numId w:val="71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zapewniać spełnienie wymagania interoperacyjności na poziomie komunikacyjnym z Systemem Centralnym.</w:t>
      </w:r>
    </w:p>
    <w:p w14:paraId="5809F289" w14:textId="77777777" w:rsidR="00386AC4" w:rsidRPr="001F6B22" w:rsidRDefault="00386AC4" w:rsidP="00232859">
      <w:pPr>
        <w:widowControl w:val="0"/>
        <w:numPr>
          <w:ilvl w:val="1"/>
          <w:numId w:val="27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0AA5FC4" w14:textId="77777777" w:rsidR="00386AC4" w:rsidRPr="001F6B22" w:rsidRDefault="00386AC4" w:rsidP="00232859">
      <w:pPr>
        <w:widowControl w:val="0"/>
        <w:numPr>
          <w:ilvl w:val="1"/>
          <w:numId w:val="27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328AE8D" w14:textId="77777777" w:rsidR="00386AC4" w:rsidRPr="001F6B22" w:rsidRDefault="00386AC4" w:rsidP="00232859">
      <w:pPr>
        <w:widowControl w:val="0"/>
        <w:numPr>
          <w:ilvl w:val="1"/>
          <w:numId w:val="27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ABD5AF1" w14:textId="77777777" w:rsidR="00386AC4" w:rsidRPr="001F6B22" w:rsidRDefault="00386AC4" w:rsidP="00232859">
      <w:pPr>
        <w:widowControl w:val="0"/>
        <w:numPr>
          <w:ilvl w:val="1"/>
          <w:numId w:val="2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Wszystkie wartości i informacje o zdarzeniach udostępniane przez licznik muszą być zaopatrzone w sumę ko</w:t>
      </w:r>
      <w:r w:rsidRPr="001F6B22">
        <w:rPr>
          <w:rFonts w:asciiTheme="majorHAnsi" w:eastAsia="MS Gothic" w:hAnsiTheme="majorHAnsi"/>
          <w:bCs/>
        </w:rPr>
        <w:t>n</w:t>
      </w:r>
      <w:r w:rsidRPr="001F6B22">
        <w:rPr>
          <w:rFonts w:asciiTheme="majorHAnsi" w:eastAsia="MS Gothic" w:hAnsiTheme="majorHAnsi"/>
          <w:bCs/>
        </w:rPr>
        <w:t>trolną zapewniającą spójność i integralność udostępnianej informacji, a także muszą być opatrzone identyfik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torem źródła ich pochodzenia (licznika).</w:t>
      </w:r>
    </w:p>
    <w:p w14:paraId="4D56DC57" w14:textId="77777777" w:rsidR="00386AC4" w:rsidRPr="001F6B22" w:rsidRDefault="00386AC4" w:rsidP="00232859">
      <w:pPr>
        <w:widowControl w:val="0"/>
        <w:numPr>
          <w:ilvl w:val="1"/>
          <w:numId w:val="2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umożliwiać odczyt (na żądanie) wartości i informacji o zdarzeniach: lokalnie i zdalnie.</w:t>
      </w:r>
    </w:p>
    <w:p w14:paraId="184FDB23" w14:textId="77777777" w:rsidR="00386AC4" w:rsidRPr="001F6B22" w:rsidRDefault="00386AC4" w:rsidP="00232859">
      <w:pPr>
        <w:widowControl w:val="0"/>
        <w:numPr>
          <w:ilvl w:val="2"/>
          <w:numId w:val="2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A9685E9" w14:textId="77777777" w:rsidR="00386AC4" w:rsidRPr="001F6B22" w:rsidRDefault="00386AC4" w:rsidP="00232859">
      <w:pPr>
        <w:widowControl w:val="0"/>
        <w:numPr>
          <w:ilvl w:val="2"/>
          <w:numId w:val="2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B9C1E54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F443874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736C654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B637F07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30CE26C" w14:textId="77777777" w:rsidR="00386AC4" w:rsidRPr="001F6B22" w:rsidRDefault="00386AC4" w:rsidP="00232859">
      <w:pPr>
        <w:widowControl w:val="0"/>
        <w:spacing w:after="60" w:line="260" w:lineRule="exact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/>
          <w:bCs/>
        </w:rPr>
        <w:t>Komunikacja zewnętrzna, bezpośrednia z Systemem Centralnym</w:t>
      </w:r>
    </w:p>
    <w:p w14:paraId="20570986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6152DAD" w14:textId="77777777" w:rsidR="00386AC4" w:rsidRPr="001F6B22" w:rsidRDefault="00386AC4" w:rsidP="00232859">
      <w:pPr>
        <w:widowControl w:val="0"/>
        <w:numPr>
          <w:ilvl w:val="1"/>
          <w:numId w:val="2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5862814" w14:textId="77777777" w:rsidR="00386AC4" w:rsidRPr="001F6B22" w:rsidRDefault="00386AC4" w:rsidP="00232859">
      <w:pPr>
        <w:widowControl w:val="0"/>
        <w:numPr>
          <w:ilvl w:val="1"/>
          <w:numId w:val="1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lub moduł komunikacyjny licznika musi być wyposażony w interfejs sieciowy w standardzie Ethernet 10/100 </w:t>
      </w:r>
      <w:proofErr w:type="spellStart"/>
      <w:r w:rsidRPr="001F6B22">
        <w:rPr>
          <w:rFonts w:asciiTheme="majorHAnsi" w:eastAsia="MS Gothic" w:hAnsiTheme="majorHAnsi"/>
          <w:bCs/>
        </w:rPr>
        <w:t>Mbps</w:t>
      </w:r>
      <w:proofErr w:type="spellEnd"/>
      <w:r w:rsidRPr="001F6B22">
        <w:rPr>
          <w:rFonts w:asciiTheme="majorHAnsi" w:eastAsia="MS Gothic" w:hAnsiTheme="majorHAnsi"/>
          <w:bCs/>
        </w:rPr>
        <w:t xml:space="preserve"> (gniazdo RJ-45), umożliwiający wykorzystanie protokołu TCP/IP, w wersji 4 oraz w wersji 6.</w:t>
      </w:r>
    </w:p>
    <w:p w14:paraId="76BC661F" w14:textId="77777777" w:rsidR="00386AC4" w:rsidRPr="001F6B22" w:rsidRDefault="00386AC4" w:rsidP="00232859">
      <w:pPr>
        <w:widowControl w:val="0"/>
        <w:numPr>
          <w:ilvl w:val="1"/>
          <w:numId w:val="1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lub moduł komunikacyjny licznika musi mieć możliwość podłączenia do modemu lub routera za p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średnictwem łącza Ethernet/RJ-45.</w:t>
      </w:r>
    </w:p>
    <w:p w14:paraId="34A6B1D1" w14:textId="77777777" w:rsidR="00386AC4" w:rsidRPr="001F6B22" w:rsidRDefault="00386AC4" w:rsidP="00232859">
      <w:pPr>
        <w:widowControl w:val="0"/>
        <w:numPr>
          <w:ilvl w:val="1"/>
          <w:numId w:val="1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lub moduł komunikacyjny licznika musi wspierać dynamiczną i statyczną adresację IP.</w:t>
      </w:r>
    </w:p>
    <w:p w14:paraId="7A0070D2" w14:textId="77777777" w:rsidR="00386AC4" w:rsidRPr="001F6B22" w:rsidRDefault="00386AC4" w:rsidP="00232859">
      <w:pPr>
        <w:widowControl w:val="0"/>
        <w:numPr>
          <w:ilvl w:val="1"/>
          <w:numId w:val="1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lub moduł komunikacyjny licznika musi mieć możliwość pozyskania adresu z serwera DHCP.</w:t>
      </w:r>
    </w:p>
    <w:p w14:paraId="7DF51694" w14:textId="77777777" w:rsidR="00386AC4" w:rsidRPr="001F6B22" w:rsidRDefault="00386AC4" w:rsidP="00232859">
      <w:pPr>
        <w:widowControl w:val="0"/>
        <w:numPr>
          <w:ilvl w:val="1"/>
          <w:numId w:val="1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być wyposażony w dwa niezależne interfejsy służące do bezpośredniej komunikacji z Systemem Centralnym: Ethernet RJ45 oraz RS485. </w:t>
      </w:r>
    </w:p>
    <w:p w14:paraId="3E703A5B" w14:textId="77777777" w:rsidR="00386AC4" w:rsidRPr="001F6B22" w:rsidRDefault="00386AC4" w:rsidP="00232859">
      <w:pPr>
        <w:widowControl w:val="0"/>
        <w:numPr>
          <w:ilvl w:val="1"/>
          <w:numId w:val="3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27B8202" w14:textId="3F20D897" w:rsidR="00386AC4" w:rsidRPr="001F6B22" w:rsidRDefault="00386AC4" w:rsidP="00232859">
      <w:pPr>
        <w:widowControl w:val="0"/>
        <w:numPr>
          <w:ilvl w:val="1"/>
          <w:numId w:val="31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</w:rPr>
        <w:t>W przypadku</w:t>
      </w:r>
      <w:r w:rsidRPr="001F6B22">
        <w:rPr>
          <w:rFonts w:asciiTheme="majorHAnsi" w:eastAsia="MS Gothic" w:hAnsiTheme="majorHAnsi"/>
          <w:bCs/>
          <w:color w:val="FFFFFF" w:themeColor="background1"/>
        </w:rPr>
        <w:t xml:space="preserve"> </w:t>
      </w:r>
      <w:r w:rsidRPr="001F6B22">
        <w:rPr>
          <w:rFonts w:asciiTheme="majorHAnsi" w:eastAsia="MS Gothic" w:hAnsiTheme="majorHAnsi"/>
          <w:bCs/>
        </w:rPr>
        <w:t>zastosowania komunikacji zastępczej konieczne jest zachowanie wszystkich wymagań technic</w:t>
      </w:r>
      <w:r w:rsidRPr="001F6B22">
        <w:rPr>
          <w:rFonts w:asciiTheme="majorHAnsi" w:eastAsia="MS Gothic" w:hAnsiTheme="majorHAnsi"/>
          <w:bCs/>
        </w:rPr>
        <w:t>z</w:t>
      </w:r>
      <w:r w:rsidRPr="001F6B22">
        <w:rPr>
          <w:rFonts w:asciiTheme="majorHAnsi" w:eastAsia="MS Gothic" w:hAnsiTheme="majorHAnsi"/>
          <w:bCs/>
        </w:rPr>
        <w:t>nych I funkcjonalnych licznika przewidzianych w niniejszym dokumencie, z wyłączeniem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wymagań specyfic</w:t>
      </w:r>
      <w:r w:rsidRPr="001F6B22">
        <w:rPr>
          <w:rFonts w:asciiTheme="majorHAnsi" w:eastAsia="MS Gothic" w:hAnsiTheme="majorHAnsi"/>
          <w:bCs/>
        </w:rPr>
        <w:t>z</w:t>
      </w:r>
      <w:r w:rsidRPr="001F6B22">
        <w:rPr>
          <w:rFonts w:asciiTheme="majorHAnsi" w:eastAsia="MS Gothic" w:hAnsiTheme="majorHAnsi"/>
          <w:bCs/>
        </w:rPr>
        <w:t>nych dla PLC</w:t>
      </w:r>
    </w:p>
    <w:p w14:paraId="07377579" w14:textId="77777777" w:rsidR="00386AC4" w:rsidRPr="001F6B22" w:rsidRDefault="00386AC4" w:rsidP="00232859">
      <w:pPr>
        <w:widowControl w:val="0"/>
        <w:spacing w:line="260" w:lineRule="exact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5A2686A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28C92F5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5EEA2F0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EED943F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B5D2487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F4F41C2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E9A8CE9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A1CB3E3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A2E0539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28B3BEB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286628A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87F1C81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F755F92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4E054A9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D1C8B2C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B13DE2B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43EE088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B386AC3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E64C53C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AEF5528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AA2A884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D278049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F712A11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36794D6" w14:textId="77777777" w:rsidR="00386AC4" w:rsidRPr="001F6B22" w:rsidRDefault="00386AC4" w:rsidP="00232859">
      <w:pPr>
        <w:widowControl w:val="0"/>
        <w:numPr>
          <w:ilvl w:val="3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7C5943C" w14:textId="77777777" w:rsidR="00386AC4" w:rsidRPr="001F6B22" w:rsidRDefault="00386AC4" w:rsidP="00232859">
      <w:pPr>
        <w:widowControl w:val="0"/>
        <w:numPr>
          <w:ilvl w:val="3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1D48802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1726FC5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E36B780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42A88A8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C98919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49D457F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07FE292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523AED1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4F64F1C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845AE14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43404FE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AB041F0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6DE80D5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10153C2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AF6EDEE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E127CA2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6442889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FD3CB1C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B23EBFA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C20CAEF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1160912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566ADA3" w14:textId="77777777" w:rsidR="00386AC4" w:rsidRPr="001F6B22" w:rsidRDefault="00386AC4" w:rsidP="00232859">
      <w:pPr>
        <w:widowControl w:val="0"/>
        <w:numPr>
          <w:ilvl w:val="1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F20259A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F4F4CA6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03C75FE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A874427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24E4C76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0D806E3" w14:textId="77777777" w:rsidR="00386AC4" w:rsidRPr="001F6B22" w:rsidRDefault="00386AC4" w:rsidP="00232859">
      <w:pPr>
        <w:widowControl w:val="0"/>
        <w:numPr>
          <w:ilvl w:val="2"/>
          <w:numId w:val="32"/>
        </w:numPr>
        <w:spacing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A8CF8E5" w14:textId="77777777" w:rsidR="00386AC4" w:rsidRPr="001F6B22" w:rsidRDefault="00386AC4" w:rsidP="00232859">
      <w:pPr>
        <w:widowControl w:val="0"/>
        <w:spacing w:after="60" w:line="260" w:lineRule="exact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/>
          <w:bCs/>
        </w:rPr>
        <w:t>Komunikacja lokalna</w:t>
      </w:r>
    </w:p>
    <w:p w14:paraId="3D355F81" w14:textId="77777777" w:rsidR="00386AC4" w:rsidRPr="001F6B22" w:rsidRDefault="00386AC4" w:rsidP="00232859">
      <w:pPr>
        <w:widowControl w:val="0"/>
        <w:numPr>
          <w:ilvl w:val="1"/>
          <w:numId w:val="1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Komunikacja lokalna z licznikiem stanowiącym samodzielne urządzenie musi być możliwa przez </w:t>
      </w:r>
    </w:p>
    <w:p w14:paraId="439DAA6F" w14:textId="77777777" w:rsidR="00386AC4" w:rsidRPr="001F6B22" w:rsidRDefault="00386AC4" w:rsidP="00232859">
      <w:pPr>
        <w:widowControl w:val="0"/>
        <w:numPr>
          <w:ilvl w:val="2"/>
          <w:numId w:val="1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spellStart"/>
      <w:proofErr w:type="gramStart"/>
      <w:r w:rsidRPr="001F6B22">
        <w:rPr>
          <w:rFonts w:asciiTheme="majorHAnsi" w:eastAsia="MS Gothic" w:hAnsiTheme="majorHAnsi"/>
          <w:bCs/>
        </w:rPr>
        <w:t>optozłącze</w:t>
      </w:r>
      <w:proofErr w:type="spellEnd"/>
      <w:proofErr w:type="gramEnd"/>
      <w:r w:rsidRPr="001F6B22">
        <w:rPr>
          <w:rFonts w:asciiTheme="majorHAnsi" w:eastAsia="MS Gothic" w:hAnsiTheme="majorHAnsi"/>
          <w:bCs/>
        </w:rPr>
        <w:t xml:space="preserve"> zgodne w warstwie fizycznej z PN-EN 62056-21, oraz </w:t>
      </w:r>
    </w:p>
    <w:p w14:paraId="2998C308" w14:textId="4C52E88D" w:rsidR="00386AC4" w:rsidRPr="001F6B22" w:rsidRDefault="00386AC4" w:rsidP="00232859">
      <w:pPr>
        <w:widowControl w:val="0"/>
        <w:numPr>
          <w:ilvl w:val="2"/>
          <w:numId w:val="1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Ethernet/RJ45 lub USB, z wykorzystaniem PN-EN 62056-21 i DLMS (zgodnego z normami PN-EN 62056-6-2 i PN-EN</w:t>
      </w:r>
      <w:proofErr w:type="gramStart"/>
      <w:r w:rsidRPr="001F6B22">
        <w:rPr>
          <w:rFonts w:asciiTheme="majorHAnsi" w:eastAsia="MS Gothic" w:hAnsiTheme="majorHAnsi"/>
          <w:bCs/>
        </w:rPr>
        <w:t xml:space="preserve"> 62056-5-3). Wymaga</w:t>
      </w:r>
      <w:proofErr w:type="gramEnd"/>
      <w:r w:rsidRPr="001F6B22">
        <w:rPr>
          <w:rFonts w:asciiTheme="majorHAnsi" w:eastAsia="MS Gothic" w:hAnsiTheme="majorHAnsi"/>
          <w:bCs/>
        </w:rPr>
        <w:t xml:space="preserve"> jest autodetekcja w zakresie obsługiwanych protokołów.</w:t>
      </w:r>
    </w:p>
    <w:p w14:paraId="65533D31" w14:textId="675756D2" w:rsidR="00386AC4" w:rsidRPr="001F6B22" w:rsidRDefault="00386AC4" w:rsidP="00232859">
      <w:pPr>
        <w:widowControl w:val="0"/>
        <w:numPr>
          <w:ilvl w:val="0"/>
          <w:numId w:val="2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55F78E9" w14:textId="77777777" w:rsidR="00386AC4" w:rsidRPr="001F6B22" w:rsidRDefault="00386AC4" w:rsidP="00232859">
      <w:pPr>
        <w:widowControl w:val="0"/>
        <w:numPr>
          <w:ilvl w:val="0"/>
          <w:numId w:val="1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/>
          <w:bCs/>
        </w:rPr>
        <w:t>Parametry techniczne</w:t>
      </w:r>
    </w:p>
    <w:p w14:paraId="7AAE6300" w14:textId="77777777" w:rsidR="00386AC4" w:rsidRPr="001F6B22" w:rsidRDefault="00386AC4" w:rsidP="00232859">
      <w:pPr>
        <w:widowControl w:val="0"/>
        <w:numPr>
          <w:ilvl w:val="1"/>
          <w:numId w:val="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bilansujący może stanowić samodzielne urządzenie lub urządzenie zintegrowane z koncentratorem d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nych. [</w:t>
      </w:r>
      <w:proofErr w:type="gramStart"/>
      <w:r w:rsidRPr="001F6B22">
        <w:rPr>
          <w:rFonts w:asciiTheme="majorHAnsi" w:eastAsia="MS Gothic" w:hAnsiTheme="majorHAnsi"/>
          <w:bCs/>
        </w:rPr>
        <w:t>rozwiązanie</w:t>
      </w:r>
      <w:proofErr w:type="gramEnd"/>
      <w:r w:rsidRPr="001F6B22">
        <w:rPr>
          <w:rFonts w:asciiTheme="majorHAnsi" w:eastAsia="MS Gothic" w:hAnsiTheme="majorHAnsi"/>
          <w:bCs/>
        </w:rPr>
        <w:t xml:space="preserve"> do wyboru przez OSD E]</w:t>
      </w:r>
    </w:p>
    <w:p w14:paraId="0F18E778" w14:textId="3565BF5D" w:rsidR="00386AC4" w:rsidRPr="001F6B22" w:rsidRDefault="00386AC4" w:rsidP="00232859">
      <w:pPr>
        <w:widowControl w:val="0"/>
        <w:numPr>
          <w:ilvl w:val="1"/>
          <w:numId w:val="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Wymaganie MID dla licznika do decyzji OSD E; w przypadku braku wymagania certyfikatu MID, licznik musi być badany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zgodnie z normą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PN-EN 50470, ale przy zastosowaniu parametrów wskazanych w niniejszym dok</w:t>
      </w:r>
      <w:r w:rsidRPr="001F6B22">
        <w:rPr>
          <w:rFonts w:asciiTheme="majorHAnsi" w:eastAsia="MS Gothic" w:hAnsiTheme="majorHAnsi"/>
          <w:bCs/>
        </w:rPr>
        <w:t>u</w:t>
      </w:r>
      <w:r w:rsidRPr="001F6B22">
        <w:rPr>
          <w:rFonts w:asciiTheme="majorHAnsi" w:eastAsia="MS Gothic" w:hAnsiTheme="majorHAnsi"/>
          <w:bCs/>
        </w:rPr>
        <w:t xml:space="preserve">mencie. </w:t>
      </w:r>
    </w:p>
    <w:p w14:paraId="4974B2CC" w14:textId="7A83F49F" w:rsidR="00386AC4" w:rsidRPr="001F6B22" w:rsidRDefault="00386AC4" w:rsidP="00232859">
      <w:pPr>
        <w:widowControl w:val="0"/>
        <w:numPr>
          <w:ilvl w:val="1"/>
          <w:numId w:val="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Wszystkie liczniki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 xml:space="preserve">muszą posiadać stosowne certyfikaty lub świadectwa wzorcowania oraz spełniać wymogi polskiego prawa odpowiednio do </w:t>
      </w:r>
      <w:proofErr w:type="gramStart"/>
      <w:r w:rsidRPr="001F6B22">
        <w:rPr>
          <w:rFonts w:asciiTheme="majorHAnsi" w:eastAsia="MS Gothic" w:hAnsiTheme="majorHAnsi"/>
          <w:bCs/>
        </w:rPr>
        <w:t>zakresu w jakim</w:t>
      </w:r>
      <w:proofErr w:type="gramEnd"/>
      <w:r w:rsidRPr="001F6B22">
        <w:rPr>
          <w:rFonts w:asciiTheme="majorHAnsi" w:eastAsia="MS Gothic" w:hAnsiTheme="majorHAnsi"/>
          <w:bCs/>
        </w:rPr>
        <w:t xml:space="preserve"> będą wykorzystywane. Wykonawca musi udostępnić prot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koły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badań potwierdzające przeprowadzenie oceny zgodności kompatybilności elektromagnetycznej oferow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nych urządzeń.</w:t>
      </w:r>
    </w:p>
    <w:p w14:paraId="1CFC0B89" w14:textId="77777777" w:rsidR="00386AC4" w:rsidRPr="001F6B22" w:rsidRDefault="00386AC4" w:rsidP="00232859">
      <w:pPr>
        <w:widowControl w:val="0"/>
        <w:numPr>
          <w:ilvl w:val="1"/>
          <w:numId w:val="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mieć klasę pomiaru energii czynnej co najmniej C (zgodnie z PN-EN</w:t>
      </w:r>
      <w:proofErr w:type="gramStart"/>
      <w:r w:rsidRPr="001F6B22">
        <w:rPr>
          <w:rFonts w:asciiTheme="majorHAnsi" w:eastAsia="MS Gothic" w:hAnsiTheme="majorHAnsi"/>
          <w:bCs/>
        </w:rPr>
        <w:t xml:space="preserve"> 50470-3:2009P</w:t>
      </w:r>
      <w:proofErr w:type="gramEnd"/>
      <w:r w:rsidRPr="001F6B22">
        <w:rPr>
          <w:rFonts w:asciiTheme="majorHAnsi" w:eastAsia="MS Gothic" w:hAnsiTheme="majorHAnsi"/>
          <w:bCs/>
        </w:rPr>
        <w:t>).</w:t>
      </w:r>
    </w:p>
    <w:p w14:paraId="0C534EEE" w14:textId="77777777" w:rsidR="00386AC4" w:rsidRPr="001F6B22" w:rsidRDefault="00386AC4" w:rsidP="00232859">
      <w:pPr>
        <w:widowControl w:val="0"/>
        <w:numPr>
          <w:ilvl w:val="1"/>
          <w:numId w:val="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mieć klasę pomiaru energii biernej co najmniej 3, zgodnie z systemem badania określonym normą PN-EN</w:t>
      </w:r>
      <w:proofErr w:type="gramStart"/>
      <w:r w:rsidRPr="001F6B22">
        <w:rPr>
          <w:rFonts w:asciiTheme="majorHAnsi" w:eastAsia="MS Gothic" w:hAnsiTheme="majorHAnsi"/>
          <w:bCs/>
        </w:rPr>
        <w:t xml:space="preserve"> 62053-21:2006P</w:t>
      </w:r>
      <w:proofErr w:type="gramEnd"/>
      <w:r w:rsidRPr="001F6B22">
        <w:rPr>
          <w:rFonts w:asciiTheme="majorHAnsi" w:eastAsia="MS Gothic" w:hAnsiTheme="majorHAnsi"/>
          <w:bCs/>
        </w:rPr>
        <w:t>.</w:t>
      </w:r>
    </w:p>
    <w:p w14:paraId="7307B0DD" w14:textId="77777777" w:rsidR="00386AC4" w:rsidRPr="001F6B22" w:rsidRDefault="00386AC4" w:rsidP="00232859">
      <w:pPr>
        <w:widowControl w:val="0"/>
        <w:numPr>
          <w:ilvl w:val="1"/>
          <w:numId w:val="6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Zakres temperatur pracy licznika musi </w:t>
      </w:r>
      <w:proofErr w:type="gramStart"/>
      <w:r w:rsidRPr="001F6B22">
        <w:rPr>
          <w:rFonts w:asciiTheme="majorHAnsi" w:eastAsia="MS Gothic" w:hAnsiTheme="majorHAnsi"/>
          <w:bCs/>
        </w:rPr>
        <w:t>wynosić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najmniej: -25°C / +55°C.</w:t>
      </w:r>
    </w:p>
    <w:p w14:paraId="0918F52A" w14:textId="77777777" w:rsidR="00386AC4" w:rsidRPr="001F6B22" w:rsidRDefault="00386AC4" w:rsidP="00232859">
      <w:pPr>
        <w:widowControl w:val="0"/>
        <w:numPr>
          <w:ilvl w:val="1"/>
          <w:numId w:val="33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D820EDF" w14:textId="77777777" w:rsidR="00386AC4" w:rsidRPr="001F6B22" w:rsidRDefault="00386AC4" w:rsidP="00232859">
      <w:pPr>
        <w:widowControl w:val="0"/>
        <w:numPr>
          <w:ilvl w:val="1"/>
          <w:numId w:val="34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Obudowa licznika musi zapewniać stopień </w:t>
      </w:r>
      <w:proofErr w:type="gramStart"/>
      <w:r w:rsidRPr="001F6B22">
        <w:rPr>
          <w:rFonts w:asciiTheme="majorHAnsi" w:eastAsia="MS Gothic" w:hAnsiTheme="majorHAnsi"/>
          <w:bCs/>
        </w:rPr>
        <w:t>ochrony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IP 51.</w:t>
      </w:r>
    </w:p>
    <w:p w14:paraId="218146D9" w14:textId="77777777" w:rsidR="00386AC4" w:rsidRPr="001F6B22" w:rsidRDefault="00386AC4" w:rsidP="00232859">
      <w:pPr>
        <w:widowControl w:val="0"/>
        <w:numPr>
          <w:ilvl w:val="1"/>
          <w:numId w:val="35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787B165" w14:textId="77777777" w:rsidR="00386AC4" w:rsidRPr="001F6B22" w:rsidRDefault="00386AC4" w:rsidP="00232859">
      <w:pPr>
        <w:widowControl w:val="0"/>
        <w:numPr>
          <w:ilvl w:val="1"/>
          <w:numId w:val="35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BAD633B" w14:textId="77777777" w:rsidR="00386AC4" w:rsidRPr="001F6B22" w:rsidRDefault="00386AC4" w:rsidP="00232859">
      <w:pPr>
        <w:widowControl w:val="0"/>
        <w:numPr>
          <w:ilvl w:val="1"/>
          <w:numId w:val="35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5C4ABDF" w14:textId="77777777" w:rsidR="00386AC4" w:rsidRPr="001F6B22" w:rsidRDefault="00386AC4" w:rsidP="00232859">
      <w:pPr>
        <w:widowControl w:val="0"/>
        <w:numPr>
          <w:ilvl w:val="1"/>
          <w:numId w:val="35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50250E5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Częstotliwość nominalna licznika wynosi 50 </w:t>
      </w:r>
      <w:proofErr w:type="spellStart"/>
      <w:r w:rsidRPr="001F6B22">
        <w:rPr>
          <w:rFonts w:asciiTheme="majorHAnsi" w:eastAsia="MS Gothic" w:hAnsiTheme="majorHAnsi"/>
          <w:bCs/>
        </w:rPr>
        <w:t>Hz</w:t>
      </w:r>
      <w:proofErr w:type="spellEnd"/>
      <w:r w:rsidRPr="001F6B22">
        <w:rPr>
          <w:rFonts w:asciiTheme="majorHAnsi" w:eastAsia="MS Gothic" w:hAnsiTheme="majorHAnsi"/>
          <w:bCs/>
        </w:rPr>
        <w:t>.</w:t>
      </w:r>
    </w:p>
    <w:p w14:paraId="54E63496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Napięcie nominalne dla licznika wynosi 3x230V / 400V.</w:t>
      </w:r>
      <w:r w:rsidRPr="001F6B22">
        <w:rPr>
          <w:rFonts w:asciiTheme="majorHAnsi" w:hAnsiTheme="majorHAnsi"/>
        </w:rPr>
        <w:t xml:space="preserve"> </w:t>
      </w:r>
    </w:p>
    <w:p w14:paraId="1E7C3EB4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</w:rPr>
        <w:t>Licznik musi posiadać możliwość zasilania z gwarantowanego źródła napięcia stałego 24V +/- 5%.</w:t>
      </w:r>
    </w:p>
    <w:p w14:paraId="1F7E3B8F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Prąd minimalny/nominalny </w:t>
      </w:r>
      <w:proofErr w:type="spellStart"/>
      <w:r w:rsidRPr="001F6B22">
        <w:rPr>
          <w:rFonts w:asciiTheme="majorHAnsi" w:eastAsia="MS Gothic" w:hAnsiTheme="majorHAnsi"/>
          <w:bCs/>
        </w:rPr>
        <w:t>Imin</w:t>
      </w:r>
      <w:proofErr w:type="spellEnd"/>
      <w:r w:rsidRPr="001F6B22">
        <w:rPr>
          <w:rFonts w:asciiTheme="majorHAnsi" w:eastAsia="MS Gothic" w:hAnsiTheme="majorHAnsi"/>
          <w:bCs/>
        </w:rPr>
        <w:t>/In</w:t>
      </w:r>
      <w:proofErr w:type="gramStart"/>
      <w:r w:rsidRPr="001F6B22">
        <w:rPr>
          <w:rFonts w:asciiTheme="majorHAnsi" w:eastAsia="MS Gothic" w:hAnsiTheme="majorHAnsi"/>
          <w:bCs/>
        </w:rPr>
        <w:t>=(0,05)5A</w:t>
      </w:r>
      <w:proofErr w:type="gramEnd"/>
      <w:r w:rsidRPr="001F6B22">
        <w:rPr>
          <w:rFonts w:asciiTheme="majorHAnsi" w:eastAsia="MS Gothic" w:hAnsiTheme="majorHAnsi"/>
          <w:bCs/>
        </w:rPr>
        <w:t>.</w:t>
      </w:r>
    </w:p>
    <w:p w14:paraId="48BFB151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Prąd maksymalny </w:t>
      </w:r>
      <w:proofErr w:type="spellStart"/>
      <w:r w:rsidRPr="001F6B22">
        <w:rPr>
          <w:rFonts w:asciiTheme="majorHAnsi" w:eastAsia="MS Gothic" w:hAnsiTheme="majorHAnsi"/>
          <w:bCs/>
        </w:rPr>
        <w:t>Imax</w:t>
      </w:r>
      <w:proofErr w:type="spellEnd"/>
      <w:r w:rsidRPr="001F6B22">
        <w:rPr>
          <w:rFonts w:asciiTheme="majorHAnsi" w:eastAsia="MS Gothic" w:hAnsiTheme="majorHAnsi"/>
          <w:bCs/>
        </w:rPr>
        <w:t xml:space="preserve"> = 6A.</w:t>
      </w:r>
    </w:p>
    <w:p w14:paraId="7D025E7E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spełniać wymagania ochrony przed przepięciami atmosferycznymi i sieciowymi:</w:t>
      </w:r>
    </w:p>
    <w:p w14:paraId="5EF00175" w14:textId="77777777" w:rsidR="00386AC4" w:rsidRPr="001F6B22" w:rsidRDefault="00386AC4" w:rsidP="00232859">
      <w:pPr>
        <w:widowControl w:val="0"/>
        <w:numPr>
          <w:ilvl w:val="2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wytrzymałość</w:t>
      </w:r>
      <w:proofErr w:type="gramEnd"/>
      <w:r w:rsidRPr="001F6B22">
        <w:rPr>
          <w:rFonts w:asciiTheme="majorHAnsi" w:eastAsia="MS Gothic" w:hAnsiTheme="majorHAnsi"/>
          <w:bCs/>
        </w:rPr>
        <w:t xml:space="preserve"> elektryczna izolacji przy f=50Hz, t=1min.: nie mniej niż 4kV,</w:t>
      </w:r>
    </w:p>
    <w:p w14:paraId="3874BEBF" w14:textId="77777777" w:rsidR="00386AC4" w:rsidRPr="001F6B22" w:rsidRDefault="00386AC4" w:rsidP="00232859">
      <w:pPr>
        <w:widowControl w:val="0"/>
        <w:numPr>
          <w:ilvl w:val="2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wytrzymałość</w:t>
      </w:r>
      <w:proofErr w:type="gramEnd"/>
      <w:r w:rsidRPr="001F6B22">
        <w:rPr>
          <w:rFonts w:asciiTheme="majorHAnsi" w:eastAsia="MS Gothic" w:hAnsiTheme="majorHAnsi"/>
          <w:bCs/>
        </w:rPr>
        <w:t xml:space="preserve"> izolacji przy impulsie napięciowym 1,2/50µs dla obwodów prądowych i napięciowych – minimum 6kV.</w:t>
      </w:r>
    </w:p>
    <w:p w14:paraId="71C665AC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Obudowa licznika musi być wykonana w II klasie ochronności izolacji.</w:t>
      </w:r>
    </w:p>
    <w:p w14:paraId="633771D7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Klasa warunków mechanicznych: M1.</w:t>
      </w:r>
    </w:p>
    <w:p w14:paraId="611736C5" w14:textId="77777777" w:rsidR="00386AC4" w:rsidRPr="001F6B22" w:rsidRDefault="00386AC4" w:rsidP="00232859">
      <w:pPr>
        <w:widowControl w:val="0"/>
        <w:numPr>
          <w:ilvl w:val="1"/>
          <w:numId w:val="3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  <w:bCs/>
        </w:rPr>
        <w:t>Obudowa licznika oraz osłona skrzynki zaciskowej musi być wykonana z samogasnących tworzyw sztucznych (klasa palności co najmniej V-0 zgodnie z wymogami normy PN-EN</w:t>
      </w:r>
      <w:proofErr w:type="gramStart"/>
      <w:r w:rsidRPr="001F6B22">
        <w:rPr>
          <w:rFonts w:asciiTheme="majorHAnsi" w:hAnsiTheme="majorHAnsi"/>
          <w:bCs/>
        </w:rPr>
        <w:t xml:space="preserve"> 60695-11-10:2002/A</w:t>
      </w:r>
      <w:proofErr w:type="gramEnd"/>
      <w:r w:rsidRPr="001F6B22">
        <w:rPr>
          <w:rFonts w:asciiTheme="majorHAnsi" w:hAnsiTheme="majorHAnsi"/>
          <w:bCs/>
        </w:rPr>
        <w:t>1:2005P), z wyjątkiem wyświetlacza dla którego wymagana jest klasa palności co najmniej V-2 zgodnie z wymogami normy PN-EN 60695-11-10:2002/A1:2005P).</w:t>
      </w:r>
    </w:p>
    <w:p w14:paraId="6EDA0C1C" w14:textId="77777777" w:rsidR="00386AC4" w:rsidRPr="001F6B22" w:rsidRDefault="00386AC4" w:rsidP="00232859">
      <w:pPr>
        <w:widowControl w:val="0"/>
        <w:numPr>
          <w:ilvl w:val="1"/>
          <w:numId w:val="3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</w:rPr>
        <w:t>Licznik musi posiadać wewnętrzny zegar czasu rzeczywistego</w:t>
      </w:r>
      <w:r w:rsidRPr="001F6B22">
        <w:rPr>
          <w:rFonts w:asciiTheme="majorHAnsi" w:eastAsia="MS Gothic" w:hAnsiTheme="majorHAnsi"/>
          <w:bCs/>
        </w:rPr>
        <w:t>. Dokładność wbudowanego zegara licznika musi być nie gorsza niż 1 sekunda na dobę dla temperatury odniesienia 23°C oraz nie gorsza niż 5 sekund na dobę w wymaganym zakresie temperaturowym pracy licznika.</w:t>
      </w:r>
    </w:p>
    <w:p w14:paraId="3E0F86CF" w14:textId="77777777" w:rsidR="00386AC4" w:rsidRPr="001F6B22" w:rsidRDefault="00386AC4" w:rsidP="00232859">
      <w:pPr>
        <w:widowControl w:val="0"/>
        <w:numPr>
          <w:ilvl w:val="1"/>
          <w:numId w:val="3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4B377C1" w14:textId="77777777" w:rsidR="00386AC4" w:rsidRPr="001F6B22" w:rsidRDefault="00386AC4" w:rsidP="00232859">
      <w:pPr>
        <w:widowControl w:val="0"/>
        <w:numPr>
          <w:ilvl w:val="1"/>
          <w:numId w:val="4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Podstawowym źródłem czasu dla licznika jest koncentrator (dla liczników z PLC) lub System Centralny albo 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ny wskazany przez Zamawiającego serwer czasu</w:t>
      </w:r>
      <w:r w:rsidRPr="001F6B22">
        <w:rPr>
          <w:rFonts w:asciiTheme="majorHAnsi" w:eastAsia="MS Gothic" w:hAnsiTheme="majorHAnsi"/>
          <w:bCs/>
        </w:rPr>
        <w:t xml:space="preserve"> (dla liczników z inną komunikacją niż PLC).</w:t>
      </w:r>
    </w:p>
    <w:p w14:paraId="24062F09" w14:textId="77777777" w:rsidR="00386AC4" w:rsidRPr="001F6B22" w:rsidRDefault="00386AC4" w:rsidP="00232859">
      <w:pPr>
        <w:widowControl w:val="0"/>
        <w:numPr>
          <w:ilvl w:val="1"/>
          <w:numId w:val="4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C4732EE" w14:textId="77777777" w:rsidR="00386AC4" w:rsidRPr="001F6B22" w:rsidRDefault="00386AC4" w:rsidP="00232859">
      <w:pPr>
        <w:widowControl w:val="0"/>
        <w:numPr>
          <w:ilvl w:val="1"/>
          <w:numId w:val="4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27992F3" w14:textId="77777777" w:rsidR="00386AC4" w:rsidRPr="001F6B22" w:rsidRDefault="00386AC4" w:rsidP="00232859">
      <w:pPr>
        <w:widowControl w:val="0"/>
        <w:numPr>
          <w:ilvl w:val="1"/>
          <w:numId w:val="4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Podtrzymanie chodu zegara przy braku napięcia zasilającego musi być nie krótsze niż 120 h. Podtrzymanie musi być zapewnione przez okres minimum 8 lat od dostawy, bez konieczności serwisowania licznika.</w:t>
      </w:r>
    </w:p>
    <w:p w14:paraId="3D0760D9" w14:textId="77777777" w:rsidR="00386AC4" w:rsidRPr="001F6B22" w:rsidRDefault="00386AC4" w:rsidP="00232859">
      <w:pPr>
        <w:widowControl w:val="0"/>
        <w:numPr>
          <w:ilvl w:val="1"/>
          <w:numId w:val="4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W przypadku zastosowania baterii lub </w:t>
      </w:r>
      <w:proofErr w:type="gramStart"/>
      <w:r w:rsidRPr="001F6B22">
        <w:rPr>
          <w:rFonts w:asciiTheme="majorHAnsi" w:eastAsia="MS Gothic" w:hAnsiTheme="majorHAnsi"/>
          <w:bCs/>
        </w:rPr>
        <w:t>akumulatora jako</w:t>
      </w:r>
      <w:proofErr w:type="gramEnd"/>
      <w:r w:rsidRPr="001F6B22">
        <w:rPr>
          <w:rFonts w:asciiTheme="majorHAnsi" w:eastAsia="MS Gothic" w:hAnsiTheme="majorHAnsi"/>
          <w:bCs/>
        </w:rPr>
        <w:t xml:space="preserve"> źródła podtrzymania, wymiana baterii nie może p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wodować konieczności otwarcia obudowy licznika.</w:t>
      </w:r>
    </w:p>
    <w:p w14:paraId="5F1B4650" w14:textId="77777777" w:rsidR="00386AC4" w:rsidRPr="001F6B22" w:rsidRDefault="00386AC4" w:rsidP="00232859">
      <w:pPr>
        <w:widowControl w:val="0"/>
        <w:numPr>
          <w:ilvl w:val="1"/>
          <w:numId w:val="4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Jeśli w czasie zaniku zasilania licznika nastąpi wyczerpanie źródła podtrzymania chodu zegara to znacznik czasu tego zdarzenia musi być zapamiętany a po powrocie zasilania zegar licznika musi kontynuować odliczanie czasu i daty od tego momentu do chwili synchronizacji czasu zegara licznika.</w:t>
      </w:r>
    </w:p>
    <w:p w14:paraId="346550F7" w14:textId="77777777" w:rsidR="00386AC4" w:rsidRPr="001F6B22" w:rsidRDefault="00386AC4" w:rsidP="005C1553">
      <w:pPr>
        <w:widowControl w:val="0"/>
        <w:numPr>
          <w:ilvl w:val="1"/>
          <w:numId w:val="43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DDFEEC5" w14:textId="77777777" w:rsidR="00386AC4" w:rsidRPr="001F6B22" w:rsidRDefault="00386AC4" w:rsidP="005C1553">
      <w:pPr>
        <w:widowControl w:val="0"/>
        <w:numPr>
          <w:ilvl w:val="1"/>
          <w:numId w:val="43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2D7C9A5" w14:textId="77777777" w:rsidR="00386AC4" w:rsidRPr="001F6B22" w:rsidRDefault="00386AC4" w:rsidP="005C1553">
      <w:pPr>
        <w:widowControl w:val="0"/>
        <w:numPr>
          <w:ilvl w:val="2"/>
          <w:numId w:val="43"/>
        </w:numPr>
        <w:spacing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B5F7CC2" w14:textId="77777777" w:rsidR="00386AC4" w:rsidRPr="001F6B22" w:rsidRDefault="00386AC4" w:rsidP="00232859">
      <w:pPr>
        <w:widowControl w:val="0"/>
        <w:numPr>
          <w:ilvl w:val="2"/>
          <w:numId w:val="43"/>
        </w:numPr>
        <w:spacing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941F2B4" w14:textId="15922847" w:rsidR="00386AC4" w:rsidRPr="001F6B22" w:rsidRDefault="00386AC4" w:rsidP="00232859">
      <w:pPr>
        <w:widowControl w:val="0"/>
        <w:numPr>
          <w:ilvl w:val="1"/>
          <w:numId w:val="4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bookmarkStart w:id="7" w:name="_Ref399421358"/>
      <w:r w:rsidRPr="001F6B22">
        <w:rPr>
          <w:rFonts w:asciiTheme="majorHAnsi" w:eastAsia="MS Gothic" w:hAnsiTheme="majorHAnsi"/>
          <w:bCs/>
        </w:rPr>
        <w:t>Licznik musi pozwalać na zmianę oprogramowania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>) – w granicach zapewniających zachowanie zgodności z MID o ile zgodność z MID była wymagana –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w sposób zdalny za pośrednictwem Systemu Centraln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go i lokalnie.</w:t>
      </w:r>
      <w:bookmarkEnd w:id="7"/>
    </w:p>
    <w:p w14:paraId="42088DCD" w14:textId="77777777" w:rsidR="00386AC4" w:rsidRPr="001F6B22" w:rsidRDefault="00386AC4" w:rsidP="005C1553">
      <w:pPr>
        <w:widowControl w:val="0"/>
        <w:numPr>
          <w:ilvl w:val="1"/>
          <w:numId w:val="44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spełniać wymagania konstrukcyjne opisane w Załączniku nr 2.</w:t>
      </w:r>
    </w:p>
    <w:p w14:paraId="5D34C3F8" w14:textId="77777777" w:rsidR="00386AC4" w:rsidRPr="001F6B22" w:rsidRDefault="00386AC4" w:rsidP="005C1553">
      <w:pPr>
        <w:widowControl w:val="0"/>
        <w:numPr>
          <w:ilvl w:val="1"/>
          <w:numId w:val="45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C4EDA68" w14:textId="77777777" w:rsidR="00386AC4" w:rsidRPr="001F6B22" w:rsidRDefault="00386AC4" w:rsidP="00232859">
      <w:pPr>
        <w:widowControl w:val="0"/>
        <w:numPr>
          <w:ilvl w:val="1"/>
          <w:numId w:val="4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81DB568" w14:textId="77777777" w:rsidR="00386AC4" w:rsidRPr="001F6B22" w:rsidRDefault="00386AC4" w:rsidP="005C1553">
      <w:pPr>
        <w:widowControl w:val="0"/>
        <w:numPr>
          <w:ilvl w:val="1"/>
          <w:numId w:val="46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przechowywać kalendarz gregoriański wraz z - obowiązującymi w porządku prawnym Rzeczp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spolitej Polskiej z jednoczesną możliwością ich dodawania i usuwania:</w:t>
      </w:r>
    </w:p>
    <w:p w14:paraId="76C5004A" w14:textId="77777777" w:rsidR="00386AC4" w:rsidRPr="001F6B22" w:rsidRDefault="00386AC4" w:rsidP="00232859">
      <w:pPr>
        <w:widowControl w:val="0"/>
        <w:numPr>
          <w:ilvl w:val="2"/>
          <w:numId w:val="47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EA908D8" w14:textId="77777777" w:rsidR="00386AC4" w:rsidRPr="001F6B22" w:rsidRDefault="00386AC4" w:rsidP="00232859">
      <w:pPr>
        <w:widowControl w:val="0"/>
        <w:numPr>
          <w:ilvl w:val="2"/>
          <w:numId w:val="4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latami</w:t>
      </w:r>
      <w:proofErr w:type="gramEnd"/>
      <w:r w:rsidRPr="001F6B22">
        <w:rPr>
          <w:rFonts w:asciiTheme="majorHAnsi" w:eastAsia="MS Gothic" w:hAnsiTheme="majorHAnsi"/>
          <w:bCs/>
        </w:rPr>
        <w:t xml:space="preserve"> przestępnymi,</w:t>
      </w:r>
    </w:p>
    <w:p w14:paraId="35C55150" w14:textId="77777777" w:rsidR="00386AC4" w:rsidRPr="001F6B22" w:rsidRDefault="00386AC4" w:rsidP="00232859">
      <w:pPr>
        <w:widowControl w:val="0"/>
        <w:numPr>
          <w:ilvl w:val="2"/>
          <w:numId w:val="4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datami</w:t>
      </w:r>
      <w:proofErr w:type="gramEnd"/>
      <w:r w:rsidRPr="001F6B22">
        <w:rPr>
          <w:rFonts w:asciiTheme="majorHAnsi" w:eastAsia="MS Gothic" w:hAnsiTheme="majorHAnsi"/>
          <w:bCs/>
        </w:rPr>
        <w:t xml:space="preserve"> zmiany czasu urzędowego z automatycznym przełączaniem lato / zima i zima/ lato,</w:t>
      </w:r>
    </w:p>
    <w:p w14:paraId="6DCD33DD" w14:textId="77777777" w:rsidR="00386AC4" w:rsidRPr="001F6B22" w:rsidRDefault="00386AC4" w:rsidP="00232859">
      <w:pPr>
        <w:widowControl w:val="0"/>
        <w:spacing w:after="60" w:line="260" w:lineRule="exact"/>
        <w:ind w:left="680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na</w:t>
      </w:r>
      <w:proofErr w:type="gramEnd"/>
      <w:r w:rsidRPr="001F6B22">
        <w:rPr>
          <w:rFonts w:asciiTheme="majorHAnsi" w:eastAsia="MS Gothic" w:hAnsiTheme="majorHAnsi"/>
          <w:bCs/>
        </w:rPr>
        <w:t xml:space="preserve"> co najmniej 8 lat.</w:t>
      </w:r>
    </w:p>
    <w:p w14:paraId="744BA243" w14:textId="77777777" w:rsidR="00386AC4" w:rsidRPr="001F6B22" w:rsidRDefault="00386AC4" w:rsidP="005C1553">
      <w:pPr>
        <w:widowControl w:val="0"/>
        <w:numPr>
          <w:ilvl w:val="1"/>
          <w:numId w:val="4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Musi istnieć możliwość synchronizacji/ustawienia czasu i aktualizacji kalendarza: zdalnie i lokalnie.</w:t>
      </w:r>
    </w:p>
    <w:p w14:paraId="149CE3A5" w14:textId="77777777" w:rsidR="00386AC4" w:rsidRPr="001F6B22" w:rsidRDefault="00386AC4" w:rsidP="005C1553">
      <w:pPr>
        <w:widowControl w:val="0"/>
        <w:numPr>
          <w:ilvl w:val="1"/>
          <w:numId w:val="4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1D5FBCB" w14:textId="77777777" w:rsidR="00386AC4" w:rsidRPr="001F6B22" w:rsidRDefault="00386AC4" w:rsidP="005C1553">
      <w:pPr>
        <w:widowControl w:val="0"/>
        <w:numPr>
          <w:ilvl w:val="1"/>
          <w:numId w:val="4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9298631" w14:textId="77777777" w:rsidR="00386AC4" w:rsidRPr="001F6B22" w:rsidRDefault="00386AC4" w:rsidP="00232859">
      <w:pPr>
        <w:widowControl w:val="0"/>
        <w:numPr>
          <w:ilvl w:val="1"/>
          <w:numId w:val="4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90DF1C5" w14:textId="3A8BB3F9" w:rsidR="00386AC4" w:rsidRPr="001F6B22" w:rsidRDefault="00386AC4" w:rsidP="00232859">
      <w:pPr>
        <w:widowControl w:val="0"/>
        <w:numPr>
          <w:ilvl w:val="1"/>
          <w:numId w:val="5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 xml:space="preserve">przechowywać w pamięci nieulotnej dane pomiarowe oraz dane </w:t>
      </w:r>
      <w:proofErr w:type="spellStart"/>
      <w:r w:rsidRPr="001F6B22">
        <w:rPr>
          <w:rFonts w:asciiTheme="majorHAnsi" w:eastAsia="MS Gothic" w:hAnsiTheme="majorHAnsi"/>
          <w:bCs/>
        </w:rPr>
        <w:t>niepomiarowe</w:t>
      </w:r>
      <w:proofErr w:type="spellEnd"/>
      <w:r w:rsidRPr="001F6B22">
        <w:rPr>
          <w:rFonts w:asciiTheme="majorHAnsi" w:eastAsia="MS Gothic" w:hAnsiTheme="majorHAnsi"/>
          <w:bCs/>
        </w:rPr>
        <w:t xml:space="preserve"> (zdarzenia).</w:t>
      </w:r>
    </w:p>
    <w:p w14:paraId="270108F4" w14:textId="77777777" w:rsidR="00386AC4" w:rsidRPr="001F6B22" w:rsidRDefault="00386AC4" w:rsidP="00232859">
      <w:pPr>
        <w:widowControl w:val="0"/>
        <w:numPr>
          <w:ilvl w:val="1"/>
          <w:numId w:val="5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Rozmiar pamięci musi pozwolić przy rejestracji wartości skutecznych napięć (TRUE VRMS) i prądów fazowych (TRUE IRMS), o których mowa w pkt </w:t>
      </w:r>
      <w:r w:rsidRPr="001F6B22">
        <w:rPr>
          <w:rFonts w:asciiTheme="majorHAnsi" w:eastAsia="MS Gothic" w:hAnsiTheme="majorHAnsi"/>
          <w:bCs/>
        </w:rPr>
        <w:fldChar w:fldCharType="begin"/>
      </w:r>
      <w:r w:rsidRPr="001F6B22">
        <w:rPr>
          <w:rFonts w:asciiTheme="majorHAnsi" w:eastAsia="MS Gothic" w:hAnsiTheme="majorHAnsi"/>
          <w:bCs/>
        </w:rPr>
        <w:instrText xml:space="preserve"> REF _Ref399442066 \r \h  \* MERGEFORMAT </w:instrText>
      </w:r>
      <w:r w:rsidRPr="001F6B22">
        <w:rPr>
          <w:rFonts w:asciiTheme="majorHAnsi" w:eastAsia="MS Gothic" w:hAnsiTheme="majorHAnsi"/>
          <w:bCs/>
        </w:rPr>
      </w:r>
      <w:r w:rsidRPr="001F6B22">
        <w:rPr>
          <w:rFonts w:asciiTheme="majorHAnsi" w:eastAsia="MS Gothic" w:hAnsiTheme="majorHAnsi"/>
          <w:bCs/>
        </w:rPr>
        <w:fldChar w:fldCharType="separate"/>
      </w:r>
      <w:r w:rsidRPr="001F6B22">
        <w:rPr>
          <w:rFonts w:asciiTheme="majorHAnsi" w:eastAsia="MS Gothic" w:hAnsiTheme="majorHAnsi"/>
          <w:bCs/>
        </w:rPr>
        <w:t>2.2.1</w:t>
      </w:r>
      <w:r w:rsidRPr="001F6B22">
        <w:rPr>
          <w:rFonts w:asciiTheme="majorHAnsi" w:eastAsia="MS Gothic" w:hAnsiTheme="majorHAnsi"/>
          <w:bCs/>
        </w:rPr>
        <w:fldChar w:fldCharType="end"/>
      </w:r>
      <w:r w:rsidRPr="001F6B22">
        <w:rPr>
          <w:rFonts w:asciiTheme="majorHAnsi" w:eastAsia="MS Gothic" w:hAnsiTheme="majorHAnsi"/>
          <w:bCs/>
        </w:rPr>
        <w:t xml:space="preserve">, na przechowywanie danych pomiarowych za </w:t>
      </w:r>
      <w:proofErr w:type="gramStart"/>
      <w:r w:rsidRPr="001F6B22">
        <w:rPr>
          <w:rFonts w:asciiTheme="majorHAnsi" w:eastAsia="MS Gothic" w:hAnsiTheme="majorHAnsi"/>
          <w:bCs/>
        </w:rPr>
        <w:t>okres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15 ostatnich dni.</w:t>
      </w:r>
    </w:p>
    <w:p w14:paraId="6DC1522D" w14:textId="77777777" w:rsidR="00386AC4" w:rsidRPr="001F6B22" w:rsidRDefault="00386AC4" w:rsidP="00232859">
      <w:pPr>
        <w:widowControl w:val="0"/>
        <w:numPr>
          <w:ilvl w:val="1"/>
          <w:numId w:val="5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Rozmiar pamięci musi pozwolić na przechowywanie: </w:t>
      </w:r>
    </w:p>
    <w:p w14:paraId="2C7A8AE0" w14:textId="77777777" w:rsidR="00386AC4" w:rsidRPr="001F6B22" w:rsidRDefault="00386AC4" w:rsidP="00232859">
      <w:pPr>
        <w:widowControl w:val="0"/>
        <w:numPr>
          <w:ilvl w:val="2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danych profilowych za </w:t>
      </w:r>
      <w:proofErr w:type="gramStart"/>
      <w:r w:rsidRPr="001F6B22">
        <w:rPr>
          <w:rFonts w:asciiTheme="majorHAnsi" w:eastAsia="MS Gothic" w:hAnsiTheme="majorHAnsi"/>
          <w:bCs/>
        </w:rPr>
        <w:t>okres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31 ostatnich dni przy okresie uśredniania 15 minut (dla dwóch rejestrów energii czynnej, czterech rejestrów energii biernej i dwóch rejestrów energii pozornej),</w:t>
      </w:r>
    </w:p>
    <w:p w14:paraId="742E7708" w14:textId="77777777" w:rsidR="00386AC4" w:rsidRPr="001F6B22" w:rsidRDefault="00386AC4" w:rsidP="00232859">
      <w:pPr>
        <w:widowControl w:val="0"/>
        <w:numPr>
          <w:ilvl w:val="2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zdarzeń</w:t>
      </w:r>
      <w:proofErr w:type="gramEnd"/>
      <w:r w:rsidRPr="001F6B22">
        <w:rPr>
          <w:rFonts w:asciiTheme="majorHAnsi" w:eastAsia="MS Gothic" w:hAnsiTheme="majorHAnsi"/>
          <w:bCs/>
        </w:rPr>
        <w:t xml:space="preserve"> - co najmniej 200 ostatnich pozycji,</w:t>
      </w:r>
    </w:p>
    <w:p w14:paraId="35996EEF" w14:textId="77777777" w:rsidR="00386AC4" w:rsidRPr="001F6B22" w:rsidRDefault="00386AC4" w:rsidP="00232859">
      <w:pPr>
        <w:widowControl w:val="0"/>
        <w:numPr>
          <w:ilvl w:val="2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wskaźników jakości</w:t>
      </w:r>
      <w:proofErr w:type="gramEnd"/>
      <w:r w:rsidRPr="001F6B22">
        <w:rPr>
          <w:rFonts w:asciiTheme="majorHAnsi" w:eastAsia="MS Gothic" w:hAnsiTheme="majorHAnsi"/>
          <w:bCs/>
        </w:rPr>
        <w:t xml:space="preserve"> zasilania oraz łącznej liczby zdarzeń w Okresie w Okresie Pomiarowym dotycz</w:t>
      </w:r>
      <w:r w:rsidRPr="001F6B22">
        <w:rPr>
          <w:rFonts w:asciiTheme="majorHAnsi" w:eastAsia="MS Gothic" w:hAnsiTheme="majorHAnsi"/>
          <w:bCs/>
        </w:rPr>
        <w:t>ą</w:t>
      </w:r>
      <w:r w:rsidRPr="001F6B22">
        <w:rPr>
          <w:rFonts w:asciiTheme="majorHAnsi" w:eastAsia="MS Gothic" w:hAnsiTheme="majorHAnsi"/>
          <w:bCs/>
        </w:rPr>
        <w:t>cych przekroczenia progów napięcia lub jego zaniku - dla 5 (pięciu) Okresów Pomiarowych – zgodnie z Załącznikiem nr 1.</w:t>
      </w:r>
    </w:p>
    <w:p w14:paraId="5A419892" w14:textId="77777777" w:rsidR="00386AC4" w:rsidRPr="001F6B22" w:rsidRDefault="00386AC4" w:rsidP="00232859">
      <w:pPr>
        <w:widowControl w:val="0"/>
        <w:numPr>
          <w:ilvl w:val="1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Dane przechowywane w pamięci liczników po zapełnieniu bufora muszą być nadpisywane poczynając od na</w:t>
      </w:r>
      <w:r w:rsidRPr="001F6B22">
        <w:rPr>
          <w:rFonts w:asciiTheme="majorHAnsi" w:eastAsia="MS Gothic" w:hAnsiTheme="majorHAnsi"/>
          <w:bCs/>
        </w:rPr>
        <w:t>j</w:t>
      </w:r>
      <w:r w:rsidRPr="001F6B22">
        <w:rPr>
          <w:rFonts w:asciiTheme="majorHAnsi" w:eastAsia="MS Gothic" w:hAnsiTheme="majorHAnsi"/>
          <w:bCs/>
        </w:rPr>
        <w:t>starszych danych.</w:t>
      </w:r>
    </w:p>
    <w:p w14:paraId="2186F966" w14:textId="13EE7E9B" w:rsidR="00386AC4" w:rsidRPr="001F6B22" w:rsidRDefault="00386AC4" w:rsidP="00232859">
      <w:pPr>
        <w:widowControl w:val="0"/>
        <w:numPr>
          <w:ilvl w:val="1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Oznaczenie typu i numeru fabrycznego licznika musi trwale, niepowtarzalne i jednoznacznie umożliwiać ident</w:t>
      </w:r>
      <w:r w:rsidRPr="001F6B22">
        <w:rPr>
          <w:rFonts w:asciiTheme="majorHAnsi" w:eastAsia="MS Gothic" w:hAnsiTheme="majorHAnsi"/>
          <w:bCs/>
        </w:rPr>
        <w:t>y</w:t>
      </w:r>
      <w:r w:rsidRPr="001F6B22">
        <w:rPr>
          <w:rFonts w:asciiTheme="majorHAnsi" w:eastAsia="MS Gothic" w:hAnsiTheme="majorHAnsi"/>
          <w:bCs/>
        </w:rPr>
        <w:t>fikację każdego licznika. Numer fabryczny licznika musi być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możliwy do odczytania w sposób zdalny i lokalny.</w:t>
      </w:r>
    </w:p>
    <w:p w14:paraId="521A8828" w14:textId="77777777" w:rsidR="00386AC4" w:rsidRPr="001F6B22" w:rsidRDefault="00386AC4" w:rsidP="00232859">
      <w:pPr>
        <w:widowControl w:val="0"/>
        <w:numPr>
          <w:ilvl w:val="1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</w:rPr>
        <w:t>W przypadku licznika zintegrowanego z koncentratorem musi być jeden numer wspólny dla całego urządzenia.</w:t>
      </w:r>
    </w:p>
    <w:p w14:paraId="5EE65905" w14:textId="77777777" w:rsidR="00386AC4" w:rsidRPr="001F6B22" w:rsidRDefault="00386AC4" w:rsidP="00232859">
      <w:pPr>
        <w:widowControl w:val="0"/>
        <w:numPr>
          <w:ilvl w:val="1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Określenie wersji oprogramowania licznika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>) musi być jednoznaczne i możliwe do odczytu w sposób zdalny i lokalny.</w:t>
      </w:r>
    </w:p>
    <w:p w14:paraId="45F203A3" w14:textId="77777777" w:rsidR="00386AC4" w:rsidRPr="001F6B22" w:rsidRDefault="00386AC4" w:rsidP="00232859">
      <w:pPr>
        <w:widowControl w:val="0"/>
        <w:numPr>
          <w:ilvl w:val="1"/>
          <w:numId w:val="5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posiadać dodatkowe oznaczenie kodem kreskowym lub RFID [do wyboru w postępowaniu prz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targowym przez OSD E]. Do każdego licznika muszą być dołączone trzy sztuki naklejek tego znacznika oraz jego kod kreskowy: [do uzupełnienia w postępowaniu przetargowym przez OSD E]</w:t>
      </w:r>
    </w:p>
    <w:p w14:paraId="7082507D" w14:textId="77777777" w:rsidR="00386AC4" w:rsidRPr="001F6B22" w:rsidRDefault="00386AC4" w:rsidP="005C1553">
      <w:pPr>
        <w:widowControl w:val="0"/>
        <w:numPr>
          <w:ilvl w:val="1"/>
          <w:numId w:val="51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Dane identyfikacyjne licznika muszą pozostać widoczne po zainstalowaniu licznika.</w:t>
      </w:r>
    </w:p>
    <w:p w14:paraId="5256C82A" w14:textId="77777777" w:rsidR="00386AC4" w:rsidRPr="001F6B22" w:rsidRDefault="00386AC4" w:rsidP="005C1553">
      <w:pPr>
        <w:widowControl w:val="0"/>
        <w:numPr>
          <w:ilvl w:val="1"/>
          <w:numId w:val="52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649DDBB" w14:textId="77777777" w:rsidR="00386AC4" w:rsidRPr="001F6B22" w:rsidRDefault="00386AC4" w:rsidP="00232859">
      <w:pPr>
        <w:widowControl w:val="0"/>
        <w:numPr>
          <w:ilvl w:val="1"/>
          <w:numId w:val="5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ACC2D0B" w14:textId="77777777" w:rsidR="00386AC4" w:rsidRPr="001F6B22" w:rsidRDefault="00386AC4" w:rsidP="005C1553">
      <w:pPr>
        <w:widowControl w:val="0"/>
        <w:numPr>
          <w:ilvl w:val="1"/>
          <w:numId w:val="53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Wszystkie urządzenia muszą być fabrycznie nowe (nieeksploatowane produkcyjnie).</w:t>
      </w:r>
    </w:p>
    <w:p w14:paraId="45E8DE3B" w14:textId="77777777" w:rsidR="00386AC4" w:rsidRPr="001F6B22" w:rsidRDefault="00386AC4" w:rsidP="005C1553">
      <w:pPr>
        <w:widowControl w:val="0"/>
        <w:numPr>
          <w:ilvl w:val="1"/>
          <w:numId w:val="54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1A2521B" w14:textId="77777777" w:rsidR="00386AC4" w:rsidRPr="001F6B22" w:rsidRDefault="00386AC4" w:rsidP="005C1553">
      <w:pPr>
        <w:widowControl w:val="0"/>
        <w:numPr>
          <w:ilvl w:val="1"/>
          <w:numId w:val="54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B349307" w14:textId="77777777" w:rsidR="00386AC4" w:rsidRPr="001F6B22" w:rsidRDefault="00386AC4" w:rsidP="00232859">
      <w:pPr>
        <w:widowControl w:val="0"/>
        <w:numPr>
          <w:ilvl w:val="1"/>
          <w:numId w:val="5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AF93661" w14:textId="77777777" w:rsidR="00386AC4" w:rsidRPr="005C1553" w:rsidRDefault="00386AC4" w:rsidP="00232859">
      <w:pPr>
        <w:widowControl w:val="0"/>
        <w:numPr>
          <w:ilvl w:val="1"/>
          <w:numId w:val="5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</w:rPr>
        <w:t>Nastawy kalibracyjne licznika bilansującego muszą stanowić integralną część oprogramowania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 lic</w:t>
      </w:r>
      <w:r w:rsidRPr="001F6B22">
        <w:rPr>
          <w:rFonts w:asciiTheme="majorHAnsi" w:hAnsiTheme="majorHAnsi"/>
        </w:rPr>
        <w:t>z</w:t>
      </w:r>
      <w:r w:rsidRPr="001F6B22">
        <w:rPr>
          <w:rFonts w:asciiTheme="majorHAnsi" w:hAnsiTheme="majorHAnsi"/>
        </w:rPr>
        <w:t>nika bilansującego, która nie może ulegać zmianie w trakcie jego wymiany lub aktualizacji.</w:t>
      </w:r>
    </w:p>
    <w:p w14:paraId="4C52D6D9" w14:textId="77777777" w:rsidR="005C1553" w:rsidRPr="001F6B22" w:rsidRDefault="005C1553" w:rsidP="005C1553">
      <w:pPr>
        <w:widowControl w:val="0"/>
        <w:spacing w:after="60" w:line="260" w:lineRule="exact"/>
        <w:jc w:val="both"/>
        <w:rPr>
          <w:rFonts w:asciiTheme="majorHAnsi" w:eastAsia="MS Gothic" w:hAnsiTheme="majorHAnsi"/>
          <w:bCs/>
        </w:rPr>
      </w:pPr>
    </w:p>
    <w:p w14:paraId="55A801FA" w14:textId="77777777" w:rsidR="00386AC4" w:rsidRPr="001F6B22" w:rsidRDefault="00386AC4" w:rsidP="00232859">
      <w:pPr>
        <w:widowControl w:val="0"/>
        <w:numPr>
          <w:ilvl w:val="0"/>
          <w:numId w:val="55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>Obsługa licznika</w:t>
      </w:r>
    </w:p>
    <w:p w14:paraId="2960AC63" w14:textId="0AA0F5AF" w:rsidR="00386AC4" w:rsidRPr="001F6B22" w:rsidRDefault="00386AC4" w:rsidP="00232859">
      <w:pPr>
        <w:widowControl w:val="0"/>
        <w:numPr>
          <w:ilvl w:val="1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umożliwiać zmianę ustawień poszczególnych parametrów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w sposób lokalny oraz zdalny. </w:t>
      </w:r>
    </w:p>
    <w:p w14:paraId="7CC22043" w14:textId="77777777" w:rsidR="00386AC4" w:rsidRPr="001F6B22" w:rsidRDefault="00386AC4" w:rsidP="00232859">
      <w:pPr>
        <w:widowControl w:val="0"/>
        <w:numPr>
          <w:ilvl w:val="1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umożliwiać zdalne aktywowanie i deaktywowanie funkcjonalności: </w:t>
      </w:r>
    </w:p>
    <w:p w14:paraId="3E5CA36D" w14:textId="77777777" w:rsidR="00386AC4" w:rsidRPr="001F6B22" w:rsidRDefault="00386AC4" w:rsidP="00232859">
      <w:pPr>
        <w:widowControl w:val="0"/>
        <w:numPr>
          <w:ilvl w:val="2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lokalnej</w:t>
      </w:r>
      <w:proofErr w:type="gramEnd"/>
      <w:r w:rsidRPr="001F6B22">
        <w:rPr>
          <w:rFonts w:asciiTheme="majorHAnsi" w:eastAsia="MS Gothic" w:hAnsiTheme="majorHAnsi"/>
          <w:bCs/>
        </w:rPr>
        <w:t xml:space="preserve"> zmiany ustawień poszczególnych parametrów,</w:t>
      </w:r>
    </w:p>
    <w:p w14:paraId="02F65475" w14:textId="77777777" w:rsidR="00386AC4" w:rsidRPr="001F6B22" w:rsidRDefault="00386AC4" w:rsidP="00232859">
      <w:pPr>
        <w:widowControl w:val="0"/>
        <w:numPr>
          <w:ilvl w:val="2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wymiany</w:t>
      </w:r>
      <w:proofErr w:type="gramEnd"/>
      <w:r w:rsidRPr="001F6B22">
        <w:rPr>
          <w:rFonts w:asciiTheme="majorHAnsi" w:eastAsia="MS Gothic" w:hAnsiTheme="majorHAnsi"/>
          <w:bCs/>
        </w:rPr>
        <w:t xml:space="preserve"> oprogramowania licznika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) zgodnie z punktem </w:t>
      </w:r>
      <w:r w:rsidRPr="001F6B22">
        <w:rPr>
          <w:rFonts w:asciiTheme="majorHAnsi" w:eastAsia="MS Gothic" w:hAnsiTheme="majorHAnsi"/>
          <w:bCs/>
        </w:rPr>
        <w:fldChar w:fldCharType="begin"/>
      </w:r>
      <w:r w:rsidRPr="001F6B22">
        <w:rPr>
          <w:rFonts w:asciiTheme="majorHAnsi" w:eastAsia="MS Gothic" w:hAnsiTheme="majorHAnsi"/>
          <w:bCs/>
        </w:rPr>
        <w:instrText xml:space="preserve"> REF _Ref399421358 \r \h  \* MERGEFORMAT </w:instrText>
      </w:r>
      <w:r w:rsidRPr="001F6B22">
        <w:rPr>
          <w:rFonts w:asciiTheme="majorHAnsi" w:eastAsia="MS Gothic" w:hAnsiTheme="majorHAnsi"/>
          <w:bCs/>
        </w:rPr>
      </w:r>
      <w:r w:rsidRPr="001F6B22">
        <w:rPr>
          <w:rFonts w:asciiTheme="majorHAnsi" w:eastAsia="MS Gothic" w:hAnsiTheme="majorHAnsi"/>
          <w:bCs/>
        </w:rPr>
        <w:fldChar w:fldCharType="separate"/>
      </w:r>
      <w:r w:rsidRPr="001F6B22">
        <w:rPr>
          <w:rFonts w:asciiTheme="majorHAnsi" w:eastAsia="MS Gothic" w:hAnsiTheme="majorHAnsi"/>
          <w:bCs/>
        </w:rPr>
        <w:t>9.33</w:t>
      </w:r>
      <w:r w:rsidRPr="001F6B22">
        <w:rPr>
          <w:rFonts w:asciiTheme="majorHAnsi" w:eastAsia="MS Gothic" w:hAnsiTheme="majorHAnsi"/>
          <w:bCs/>
        </w:rPr>
        <w:fldChar w:fldCharType="end"/>
      </w:r>
      <w:r w:rsidRPr="001F6B22">
        <w:rPr>
          <w:rFonts w:asciiTheme="majorHAnsi" w:eastAsia="MS Gothic" w:hAnsiTheme="majorHAnsi"/>
          <w:bCs/>
        </w:rPr>
        <w:t>.</w:t>
      </w:r>
    </w:p>
    <w:p w14:paraId="3F12C766" w14:textId="77777777" w:rsidR="00386AC4" w:rsidRPr="001F6B22" w:rsidRDefault="00386AC4" w:rsidP="00232859">
      <w:pPr>
        <w:widowControl w:val="0"/>
        <w:numPr>
          <w:ilvl w:val="0"/>
          <w:numId w:val="56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/>
          <w:bCs/>
        </w:rPr>
        <w:t>parametryzacyjne</w:t>
      </w:r>
      <w:proofErr w:type="spellEnd"/>
    </w:p>
    <w:p w14:paraId="4E78650E" w14:textId="77777777" w:rsidR="00386AC4" w:rsidRPr="001F6B22" w:rsidRDefault="00386AC4" w:rsidP="00232859">
      <w:pPr>
        <w:widowControl w:val="0"/>
        <w:numPr>
          <w:ilvl w:val="1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Wykonawca dostarczy 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>.</w:t>
      </w:r>
    </w:p>
    <w:p w14:paraId="7BC9A220" w14:textId="77777777" w:rsidR="00386AC4" w:rsidRPr="001F6B22" w:rsidRDefault="00386AC4" w:rsidP="00232859">
      <w:pPr>
        <w:widowControl w:val="0"/>
        <w:numPr>
          <w:ilvl w:val="1"/>
          <w:numId w:val="5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umożliwiać nadawanie uprawnień niezależnie dla dwóch kategorii czynności: odczyt danych, zmiana parametrów w urządzeniu. Domyślnie muszą być </w:t>
      </w:r>
      <w:proofErr w:type="gramStart"/>
      <w:r w:rsidRPr="001F6B22">
        <w:rPr>
          <w:rFonts w:asciiTheme="majorHAnsi" w:eastAsia="MS Gothic" w:hAnsiTheme="majorHAnsi"/>
          <w:bCs/>
        </w:rPr>
        <w:t>zdefiniowane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następujące dwa poziomy dostępu:</w:t>
      </w:r>
    </w:p>
    <w:p w14:paraId="015D8FE1" w14:textId="77777777" w:rsidR="00386AC4" w:rsidRPr="001F6B22" w:rsidRDefault="00386AC4" w:rsidP="005C1553">
      <w:pPr>
        <w:widowControl w:val="0"/>
        <w:numPr>
          <w:ilvl w:val="2"/>
          <w:numId w:val="56"/>
        </w:numPr>
        <w:spacing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tylko</w:t>
      </w:r>
      <w:proofErr w:type="gramEnd"/>
      <w:r w:rsidRPr="001F6B22">
        <w:rPr>
          <w:rFonts w:asciiTheme="majorHAnsi" w:eastAsia="MS Gothic" w:hAnsiTheme="majorHAnsi"/>
          <w:bCs/>
        </w:rPr>
        <w:t xml:space="preserve"> odczyt danych i parametrów z licznika,</w:t>
      </w:r>
    </w:p>
    <w:p w14:paraId="7D654DBA" w14:textId="77777777" w:rsidR="00386AC4" w:rsidRPr="001F6B22" w:rsidRDefault="00386AC4" w:rsidP="00232859">
      <w:pPr>
        <w:widowControl w:val="0"/>
        <w:numPr>
          <w:ilvl w:val="2"/>
          <w:numId w:val="57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263D21B" w14:textId="77777777" w:rsidR="00386AC4" w:rsidRPr="001F6B22" w:rsidRDefault="00386AC4" w:rsidP="00232859">
      <w:pPr>
        <w:widowControl w:val="0"/>
        <w:numPr>
          <w:ilvl w:val="2"/>
          <w:numId w:val="5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odczyt</w:t>
      </w:r>
      <w:proofErr w:type="gramEnd"/>
      <w:r w:rsidRPr="001F6B22">
        <w:rPr>
          <w:rFonts w:asciiTheme="majorHAnsi" w:eastAsia="MS Gothic" w:hAnsiTheme="majorHAnsi"/>
          <w:bCs/>
        </w:rPr>
        <w:t xml:space="preserve"> i parametryzacja licznika w pełnym zakresie.</w:t>
      </w:r>
    </w:p>
    <w:p w14:paraId="3A802CA7" w14:textId="77777777" w:rsidR="00386AC4" w:rsidRPr="001F6B22" w:rsidRDefault="00386AC4" w:rsidP="00232859">
      <w:pPr>
        <w:widowControl w:val="0"/>
        <w:numPr>
          <w:ilvl w:val="1"/>
          <w:numId w:val="5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Dostęp do powyższych trybów musi być </w:t>
      </w:r>
      <w:proofErr w:type="gramStart"/>
      <w:r w:rsidRPr="001F6B22">
        <w:rPr>
          <w:rFonts w:asciiTheme="majorHAnsi" w:eastAsia="MS Gothic" w:hAnsiTheme="majorHAnsi"/>
          <w:bCs/>
        </w:rPr>
        <w:t>zabezpieczony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zabezpieczeniem programowym zdefini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wanym dla poszczególnych ról/poziomów dostępu.</w:t>
      </w:r>
    </w:p>
    <w:p w14:paraId="623DCA26" w14:textId="77777777" w:rsidR="00386AC4" w:rsidRPr="001F6B22" w:rsidRDefault="00386AC4" w:rsidP="00232859">
      <w:pPr>
        <w:widowControl w:val="0"/>
        <w:numPr>
          <w:ilvl w:val="1"/>
          <w:numId w:val="5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umożliwiać przygotowanie plików konfiguracyjnych na potrzeby wszystkich poziomów dostępu do oprogramowania licznika. Pliki konfiguracyjne ze starszej wersji programu muszą być możliwe do obsłużenia w wersjach nowszych.</w:t>
      </w:r>
    </w:p>
    <w:p w14:paraId="7780F895" w14:textId="77777777" w:rsidR="00386AC4" w:rsidRPr="001F6B22" w:rsidRDefault="00386AC4" w:rsidP="00232859">
      <w:pPr>
        <w:widowControl w:val="0"/>
        <w:numPr>
          <w:ilvl w:val="1"/>
          <w:numId w:val="5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Korzystanie z oprogramowania </w:t>
      </w:r>
      <w:proofErr w:type="spellStart"/>
      <w:r w:rsidRPr="001F6B22">
        <w:rPr>
          <w:rFonts w:asciiTheme="majorHAnsi" w:eastAsia="MS Gothic" w:hAnsiTheme="majorHAnsi"/>
          <w:bCs/>
        </w:rPr>
        <w:t>parametryzacyjnego</w:t>
      </w:r>
      <w:proofErr w:type="spellEnd"/>
      <w:r w:rsidRPr="001F6B22">
        <w:rPr>
          <w:rFonts w:asciiTheme="majorHAnsi" w:eastAsia="MS Gothic" w:hAnsiTheme="majorHAnsi"/>
          <w:bCs/>
        </w:rPr>
        <w:t xml:space="preserve"> nie może wymagać uprawnień administratora systemu operacyjnego, ani zawierać innych technicznych ani prawnych ograniczeń w korzystaniu przez dowolnego uży</w:t>
      </w:r>
      <w:r w:rsidRPr="001F6B22">
        <w:rPr>
          <w:rFonts w:asciiTheme="majorHAnsi" w:eastAsia="MS Gothic" w:hAnsiTheme="majorHAnsi"/>
          <w:bCs/>
        </w:rPr>
        <w:t>t</w:t>
      </w:r>
      <w:r w:rsidRPr="001F6B22">
        <w:rPr>
          <w:rFonts w:asciiTheme="majorHAnsi" w:eastAsia="MS Gothic" w:hAnsiTheme="majorHAnsi"/>
          <w:bCs/>
        </w:rPr>
        <w:t>kownika definiowanego przez Zamawiającego.</w:t>
      </w:r>
    </w:p>
    <w:p w14:paraId="29CD51BC" w14:textId="77777777" w:rsidR="00386AC4" w:rsidRPr="001F6B22" w:rsidRDefault="00386AC4" w:rsidP="00232859">
      <w:pPr>
        <w:widowControl w:val="0"/>
        <w:numPr>
          <w:ilvl w:val="1"/>
          <w:numId w:val="58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umożliwiać eksport danych pomiarowych, zdarzeń i konfiguracji do plików tekstowych w trzech formatach: txt, </w:t>
      </w:r>
      <w:proofErr w:type="spellStart"/>
      <w:r w:rsidRPr="001F6B22">
        <w:rPr>
          <w:rFonts w:asciiTheme="majorHAnsi" w:eastAsia="MS Gothic" w:hAnsiTheme="majorHAnsi"/>
          <w:bCs/>
        </w:rPr>
        <w:t>csv</w:t>
      </w:r>
      <w:proofErr w:type="spellEnd"/>
      <w:r w:rsidRPr="001F6B22">
        <w:rPr>
          <w:rFonts w:asciiTheme="majorHAnsi" w:eastAsia="MS Gothic" w:hAnsiTheme="majorHAnsi"/>
          <w:bCs/>
        </w:rPr>
        <w:t xml:space="preserve"> i </w:t>
      </w:r>
      <w:proofErr w:type="spellStart"/>
      <w:r w:rsidRPr="001F6B22">
        <w:rPr>
          <w:rFonts w:asciiTheme="majorHAnsi" w:eastAsia="MS Gothic" w:hAnsiTheme="majorHAnsi"/>
          <w:bCs/>
        </w:rPr>
        <w:t>xml</w:t>
      </w:r>
      <w:proofErr w:type="spellEnd"/>
      <w:r w:rsidRPr="001F6B22">
        <w:rPr>
          <w:rFonts w:asciiTheme="majorHAnsi" w:eastAsia="MS Gothic" w:hAnsiTheme="majorHAnsi"/>
          <w:bCs/>
        </w:rPr>
        <w:t xml:space="preserve"> o udokumentowanej strukturze przekazanej Zamawiaj</w:t>
      </w:r>
      <w:r w:rsidRPr="001F6B22">
        <w:rPr>
          <w:rFonts w:asciiTheme="majorHAnsi" w:eastAsia="MS Gothic" w:hAnsiTheme="majorHAnsi"/>
          <w:bCs/>
        </w:rPr>
        <w:t>ą</w:t>
      </w:r>
      <w:r w:rsidRPr="001F6B22">
        <w:rPr>
          <w:rFonts w:asciiTheme="majorHAnsi" w:eastAsia="MS Gothic" w:hAnsiTheme="majorHAnsi"/>
          <w:bCs/>
        </w:rPr>
        <w:t xml:space="preserve">cemu. </w:t>
      </w:r>
      <w:r w:rsidRPr="001F6B22">
        <w:rPr>
          <w:rFonts w:asciiTheme="majorHAnsi" w:hAnsiTheme="majorHAnsi"/>
        </w:rPr>
        <w:t>W pliku musi znaleźć się numer fabryczny urządzenia, z którego nastąpił eksport danych.</w:t>
      </w:r>
    </w:p>
    <w:p w14:paraId="44C55876" w14:textId="77777777" w:rsidR="00386AC4" w:rsidRPr="001F6B22" w:rsidRDefault="00386AC4" w:rsidP="005C1553">
      <w:pPr>
        <w:widowControl w:val="0"/>
        <w:numPr>
          <w:ilvl w:val="1"/>
          <w:numId w:val="5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Musi być dostępna możliwość zapisu do pliku konfiguracji parametryzacji licznika, która może służyć do mas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wej konfiguracji innych liczników tego samego typu</w:t>
      </w:r>
    </w:p>
    <w:p w14:paraId="61DF856D" w14:textId="77777777" w:rsidR="00386AC4" w:rsidRPr="001F6B22" w:rsidRDefault="00386AC4" w:rsidP="00232859">
      <w:pPr>
        <w:widowControl w:val="0"/>
        <w:numPr>
          <w:ilvl w:val="1"/>
          <w:numId w:val="5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70E8947" w14:textId="77777777" w:rsidR="00386AC4" w:rsidRPr="001F6B22" w:rsidRDefault="00386AC4" w:rsidP="00232859">
      <w:pPr>
        <w:widowControl w:val="0"/>
        <w:numPr>
          <w:ilvl w:val="1"/>
          <w:numId w:val="6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W przypadku odczytu danych z licznika w pliku musi znaleźć się numer fabryczny tego licznika. </w:t>
      </w:r>
    </w:p>
    <w:p w14:paraId="63B54B19" w14:textId="361E2BDB" w:rsidR="00386AC4" w:rsidRPr="001F6B22" w:rsidRDefault="00386AC4" w:rsidP="00232859">
      <w:pPr>
        <w:widowControl w:val="0"/>
        <w:numPr>
          <w:ilvl w:val="1"/>
          <w:numId w:val="6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Wykonawca zapewni przynamniej przez czas trwania gwarancji, w ramach wynagrodzenia za przedmiot z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 xml:space="preserve">mówienia, dostęp do aktualnych wersji oprogramowania </w:t>
      </w:r>
      <w:proofErr w:type="spellStart"/>
      <w:r w:rsidRPr="001F6B22">
        <w:rPr>
          <w:rFonts w:asciiTheme="majorHAnsi" w:eastAsia="MS Gothic" w:hAnsiTheme="majorHAnsi"/>
          <w:bCs/>
        </w:rPr>
        <w:t>parametryzacyjnego</w:t>
      </w:r>
      <w:proofErr w:type="spellEnd"/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w przypadku pojawienia się n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wych wersji tego oprogramowania. Nowe wersje oprogramowania muszą obsługiwać urządzenia wcześniej z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kupione przez Zamawiającego od Wykonawcy.</w:t>
      </w:r>
    </w:p>
    <w:p w14:paraId="3D0EE3E9" w14:textId="77777777" w:rsidR="00386AC4" w:rsidRPr="001F6B22" w:rsidRDefault="00386AC4" w:rsidP="00232859">
      <w:pPr>
        <w:widowControl w:val="0"/>
        <w:numPr>
          <w:ilvl w:val="1"/>
          <w:numId w:val="6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Całość dostarczanego oprogramowania oraz instrukcje muszą być w wersji polskojęzycznej.</w:t>
      </w:r>
    </w:p>
    <w:p w14:paraId="7F4A35B6" w14:textId="77777777" w:rsidR="00386AC4" w:rsidRPr="001F6B22" w:rsidRDefault="00386AC4" w:rsidP="005C1553">
      <w:pPr>
        <w:widowControl w:val="0"/>
        <w:numPr>
          <w:ilvl w:val="1"/>
          <w:numId w:val="60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być przystosowane do współpracy z systemami operacyjnymi [do uzupełnienia w postępowaniu przetargowym przez OSD E].</w:t>
      </w:r>
    </w:p>
    <w:p w14:paraId="5CFB7FAD" w14:textId="77777777" w:rsidR="00386AC4" w:rsidRPr="001F6B22" w:rsidRDefault="00386AC4" w:rsidP="00232859">
      <w:pPr>
        <w:widowControl w:val="0"/>
        <w:numPr>
          <w:ilvl w:val="1"/>
          <w:numId w:val="61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75DF3BA" w14:textId="77777777" w:rsidR="00386AC4" w:rsidRPr="001F6B22" w:rsidRDefault="00386AC4" w:rsidP="00232859">
      <w:pPr>
        <w:widowControl w:val="0"/>
        <w:numPr>
          <w:ilvl w:val="1"/>
          <w:numId w:val="6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Dokumentacja techniczna opisująca protokół komunikacyjny na lokalnych interfejsach wraz ze strukturą d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nych, musi zostać przekazana w ramach umowy w celu implementacji obsługi tych urządzeń w systemach i</w:t>
      </w:r>
      <w:r w:rsidRPr="001F6B22">
        <w:rPr>
          <w:rFonts w:asciiTheme="majorHAnsi" w:eastAsia="MS Gothic" w:hAnsiTheme="majorHAnsi"/>
          <w:bCs/>
        </w:rPr>
        <w:t>n</w:t>
      </w:r>
      <w:r w:rsidRPr="001F6B22">
        <w:rPr>
          <w:rFonts w:asciiTheme="majorHAnsi" w:eastAsia="MS Gothic" w:hAnsiTheme="majorHAnsi"/>
          <w:bCs/>
        </w:rPr>
        <w:t>formatycznych zamawiającego oraz stworzenia nowego oprogramowania przez zamawiającego lub na jego zl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 xml:space="preserve">cenie. </w:t>
      </w:r>
    </w:p>
    <w:p w14:paraId="2A5C0548" w14:textId="77777777" w:rsidR="00386AC4" w:rsidRPr="001F6B22" w:rsidRDefault="00386AC4" w:rsidP="00232859">
      <w:pPr>
        <w:widowControl w:val="0"/>
        <w:numPr>
          <w:ilvl w:val="1"/>
          <w:numId w:val="62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Każda skuteczna parametryzacja lub wymiana 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zostać potwierdzona informacją zwrotną do oprogramowania </w:t>
      </w:r>
      <w:proofErr w:type="spellStart"/>
      <w:r w:rsidRPr="001F6B22">
        <w:rPr>
          <w:rFonts w:asciiTheme="majorHAnsi" w:eastAsia="MS Gothic" w:hAnsiTheme="majorHAnsi"/>
          <w:bCs/>
        </w:rPr>
        <w:t>parametryzacyjnego</w:t>
      </w:r>
      <w:proofErr w:type="spellEnd"/>
      <w:r w:rsidRPr="001F6B22">
        <w:rPr>
          <w:rFonts w:asciiTheme="majorHAnsi" w:eastAsia="MS Gothic" w:hAnsiTheme="majorHAnsi"/>
          <w:bCs/>
        </w:rPr>
        <w:t xml:space="preserve"> o poprawnym zakończeniu procesu.</w:t>
      </w:r>
    </w:p>
    <w:p w14:paraId="27436569" w14:textId="77777777" w:rsidR="00386AC4" w:rsidRPr="001F6B22" w:rsidRDefault="00386AC4" w:rsidP="00232859">
      <w:pPr>
        <w:widowControl w:val="0"/>
        <w:numPr>
          <w:ilvl w:val="0"/>
          <w:numId w:val="62"/>
        </w:numPr>
        <w:spacing w:after="60" w:line="260" w:lineRule="exact"/>
        <w:jc w:val="both"/>
        <w:rPr>
          <w:rFonts w:asciiTheme="majorHAnsi" w:eastAsia="MS Gothic" w:hAnsiTheme="majorHAnsi"/>
          <w:b/>
          <w:bCs/>
        </w:rPr>
      </w:pPr>
      <w:r w:rsidRPr="001F6B22">
        <w:rPr>
          <w:rFonts w:asciiTheme="majorHAnsi" w:eastAsia="MS Gothic" w:hAnsiTheme="majorHAnsi"/>
          <w:b/>
          <w:bCs/>
        </w:rPr>
        <w:t>Bezpieczeństwo</w:t>
      </w:r>
    </w:p>
    <w:p w14:paraId="5F964735" w14:textId="77777777" w:rsidR="00386AC4" w:rsidRPr="001F6B22" w:rsidRDefault="00386AC4" w:rsidP="00232859">
      <w:pPr>
        <w:widowControl w:val="0"/>
        <w:numPr>
          <w:ilvl w:val="1"/>
          <w:numId w:val="63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Musi istnieć możliwość wyłączenia poszczególnych funkcji dotyczących bezpieczeństwa opisanych w niniejszym rozdziale.</w:t>
      </w:r>
    </w:p>
    <w:p w14:paraId="2336A2D5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Liczniki muszą spełniać wymagania ustawy o ochronie danych osobowych w zakresie warunków technicznych i organizacyjnych, jakim powinny odpowiadać urządzenia i systemy informatyczne służące do przetwarzania d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nych osobowych w zakresie środków bezpieczeństwa na poziomie wysokim zgodnie z rozporządzeniem Min</w:t>
      </w:r>
      <w:r w:rsidRPr="001F6B22">
        <w:rPr>
          <w:rFonts w:asciiTheme="majorHAnsi" w:eastAsia="MS Gothic" w:hAnsiTheme="majorHAnsi"/>
          <w:bCs/>
        </w:rPr>
        <w:t>i</w:t>
      </w:r>
      <w:r w:rsidRPr="001F6B22">
        <w:rPr>
          <w:rFonts w:asciiTheme="majorHAnsi" w:eastAsia="MS Gothic" w:hAnsiTheme="majorHAnsi"/>
          <w:bCs/>
        </w:rPr>
        <w:t>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14:paraId="02119269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Dostęp do licznika musi być zabezpieczony hasłem.</w:t>
      </w:r>
    </w:p>
    <w:p w14:paraId="772A6F21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 oraz hasła i klucze przechowywane przez 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muszą być zaszyfr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>wane.</w:t>
      </w:r>
    </w:p>
    <w:p w14:paraId="31F62C8B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Hasła logowania do oprogramowania </w:t>
      </w:r>
      <w:proofErr w:type="spellStart"/>
      <w:r w:rsidRPr="001F6B22">
        <w:rPr>
          <w:rFonts w:asciiTheme="majorHAnsi" w:eastAsia="MS Gothic" w:hAnsiTheme="majorHAnsi"/>
          <w:bCs/>
        </w:rPr>
        <w:t>parametryzacyjnego</w:t>
      </w:r>
      <w:proofErr w:type="spellEnd"/>
      <w:r w:rsidRPr="001F6B22">
        <w:rPr>
          <w:rFonts w:asciiTheme="majorHAnsi" w:eastAsia="MS Gothic" w:hAnsiTheme="majorHAnsi"/>
          <w:bCs/>
        </w:rPr>
        <w:t xml:space="preserve"> i dostępu do liczników muszą zawierać: min. 8 zn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 xml:space="preserve">ków, małe i wielkie litery oraz cyfry lub znaki specjalne. </w:t>
      </w:r>
    </w:p>
    <w:p w14:paraId="4C179C19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Wszystkie hasła i metody dostępu muszą zostać opisane w dokumentacji przekazanej Zamawiającemu.</w:t>
      </w:r>
    </w:p>
    <w:p w14:paraId="40CC4F7C" w14:textId="1795BE7C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umożliwiać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uwierzytelnianie za pomocą unikalnego certyfikatu, w zastępstwie używania hasła. Klucze szyfrujące muszą być zabezpieczone. [Sposób zabezpieczenia określa OSD E stosownie do jego polityki bezpieczeństwa]</w:t>
      </w:r>
    </w:p>
    <w:p w14:paraId="7912312B" w14:textId="77777777" w:rsidR="00386AC4" w:rsidRPr="001F6B22" w:rsidRDefault="00386AC4" w:rsidP="00232859">
      <w:pPr>
        <w:widowControl w:val="0"/>
        <w:numPr>
          <w:ilvl w:val="1"/>
          <w:numId w:val="64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umożliwiać pobieranie haseł i kluczy z zewnętrznego pliku.</w:t>
      </w:r>
    </w:p>
    <w:p w14:paraId="49F538C1" w14:textId="77777777" w:rsidR="00386AC4" w:rsidRPr="001F6B22" w:rsidRDefault="00386AC4" w:rsidP="005C1553">
      <w:pPr>
        <w:widowControl w:val="0"/>
        <w:numPr>
          <w:ilvl w:val="1"/>
          <w:numId w:val="64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posiadać zabezpieczenia uniemożliwiające instalację tego oprogr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 xml:space="preserve">mowania bez autoryzacji oraz zapewniać mechanizm zabezpieczający przed uruchomieniem oprogramowania skopiowanego z pominięciem procesu standardowej instalacji przez uprawnionego instalatora, do realizacji przez Zamawiającemu. </w:t>
      </w:r>
    </w:p>
    <w:p w14:paraId="5F8F20F3" w14:textId="77777777" w:rsidR="00386AC4" w:rsidRPr="001F6B22" w:rsidRDefault="00386AC4" w:rsidP="00232859">
      <w:pPr>
        <w:widowControl w:val="0"/>
        <w:numPr>
          <w:ilvl w:val="1"/>
          <w:numId w:val="65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0EFE625" w14:textId="77777777" w:rsidR="00386AC4" w:rsidRPr="001F6B22" w:rsidRDefault="00386AC4" w:rsidP="00232859">
      <w:pPr>
        <w:widowControl w:val="0"/>
        <w:numPr>
          <w:ilvl w:val="1"/>
          <w:numId w:val="6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umożliwiać zdefiniowanie konfigurowalnej liczby „n” (przynajmniej w zakresie od 1 do 10) ni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udanych prób logowania, po których zostanie automatycznie przesłany komunikat do Systemu Centralnego.</w:t>
      </w:r>
    </w:p>
    <w:p w14:paraId="5E5CC114" w14:textId="77777777" w:rsidR="00386AC4" w:rsidRPr="001F6B22" w:rsidRDefault="00386AC4" w:rsidP="00232859">
      <w:pPr>
        <w:widowControl w:val="0"/>
        <w:numPr>
          <w:ilvl w:val="1"/>
          <w:numId w:val="6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Licznik musi posiadać zabezpieczenie powodujące po „n” nieudanych próbach logowania (parametr konfig</w:t>
      </w:r>
      <w:r w:rsidRPr="001F6B22">
        <w:rPr>
          <w:rFonts w:asciiTheme="majorHAnsi" w:eastAsia="MS Gothic" w:hAnsiTheme="majorHAnsi"/>
          <w:bCs/>
        </w:rPr>
        <w:t>u</w:t>
      </w:r>
      <w:r w:rsidRPr="001F6B22">
        <w:rPr>
          <w:rFonts w:asciiTheme="majorHAnsi" w:eastAsia="MS Gothic" w:hAnsiTheme="majorHAnsi"/>
          <w:bCs/>
        </w:rPr>
        <w:t xml:space="preserve">rowalny przynajmniej w zakresie od 1 do 10): blokowanie możliwości logowania na określony czas (parametr konfigurowalny w zakresie od 10 do 60 minut z </w:t>
      </w:r>
      <w:proofErr w:type="gramStart"/>
      <w:r w:rsidRPr="001F6B22">
        <w:rPr>
          <w:rFonts w:asciiTheme="majorHAnsi" w:eastAsia="MS Gothic" w:hAnsiTheme="majorHAnsi"/>
          <w:bCs/>
        </w:rPr>
        <w:t>krokiem co</w:t>
      </w:r>
      <w:proofErr w:type="gramEnd"/>
      <w:r w:rsidRPr="001F6B22">
        <w:rPr>
          <w:rFonts w:asciiTheme="majorHAnsi" w:eastAsia="MS Gothic" w:hAnsiTheme="majorHAnsi"/>
          <w:bCs/>
        </w:rPr>
        <w:t xml:space="preserve"> 10 minut) i zapis zdarzenia. </w:t>
      </w:r>
    </w:p>
    <w:p w14:paraId="2767F97A" w14:textId="6E2B9AAB" w:rsidR="00386AC4" w:rsidRPr="001F6B22" w:rsidRDefault="00386AC4" w:rsidP="00232859">
      <w:pPr>
        <w:widowControl w:val="0"/>
        <w:numPr>
          <w:ilvl w:val="1"/>
          <w:numId w:val="6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Oprogramowanie </w:t>
      </w:r>
      <w:proofErr w:type="spellStart"/>
      <w:r w:rsidRPr="001F6B22">
        <w:rPr>
          <w:rFonts w:asciiTheme="majorHAnsi" w:eastAsia="MS Gothic" w:hAnsiTheme="majorHAnsi"/>
          <w:bCs/>
        </w:rPr>
        <w:t>parametryzacyjne</w:t>
      </w:r>
      <w:proofErr w:type="spellEnd"/>
      <w:r w:rsidRPr="001F6B22">
        <w:rPr>
          <w:rFonts w:asciiTheme="majorHAnsi" w:eastAsia="MS Gothic" w:hAnsiTheme="majorHAnsi"/>
          <w:bCs/>
        </w:rPr>
        <w:t xml:space="preserve"> musi posiadać zabezpieczenie powodujące blokowanie możliwości l</w:t>
      </w:r>
      <w:r w:rsidRPr="001F6B22">
        <w:rPr>
          <w:rFonts w:asciiTheme="majorHAnsi" w:eastAsia="MS Gothic" w:hAnsiTheme="majorHAnsi"/>
          <w:bCs/>
        </w:rPr>
        <w:t>o</w:t>
      </w:r>
      <w:r w:rsidRPr="001F6B22">
        <w:rPr>
          <w:rFonts w:asciiTheme="majorHAnsi" w:eastAsia="MS Gothic" w:hAnsiTheme="majorHAnsi"/>
          <w:bCs/>
        </w:rPr>
        <w:t xml:space="preserve">gowania po „n” nieudanych próbach logowania (parametr konfigurowalny przynajmniej w zakresie od 1 do 10) na określony czas (parametr konfigurowalny w zakresie od 10 do 60 minut z </w:t>
      </w:r>
      <w:proofErr w:type="gramStart"/>
      <w:r w:rsidRPr="001F6B22">
        <w:rPr>
          <w:rFonts w:asciiTheme="majorHAnsi" w:eastAsia="MS Gothic" w:hAnsiTheme="majorHAnsi"/>
          <w:bCs/>
        </w:rPr>
        <w:t>krokiem co</w:t>
      </w:r>
      <w:proofErr w:type="gramEnd"/>
      <w:r w:rsidRPr="001F6B22">
        <w:rPr>
          <w:rFonts w:asciiTheme="majorHAnsi" w:eastAsia="MS Gothic" w:hAnsiTheme="majorHAnsi"/>
          <w:bCs/>
        </w:rPr>
        <w:t xml:space="preserve"> 10 minut).</w:t>
      </w:r>
      <w:r w:rsidR="006B1801">
        <w:rPr>
          <w:rFonts w:asciiTheme="majorHAnsi" w:eastAsia="MS Gothic" w:hAnsiTheme="majorHAnsi"/>
          <w:bCs/>
        </w:rPr>
        <w:t xml:space="preserve"> </w:t>
      </w:r>
    </w:p>
    <w:p w14:paraId="5ADA95A9" w14:textId="77777777" w:rsidR="00386AC4" w:rsidRPr="001F6B22" w:rsidRDefault="00386AC4" w:rsidP="00232859">
      <w:pPr>
        <w:widowControl w:val="0"/>
        <w:numPr>
          <w:ilvl w:val="1"/>
          <w:numId w:val="66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W liczniku musi istnieć mechanizm zdalnej zmiany hasła. W liczniku nie mogą być implementowane niemo</w:t>
      </w:r>
      <w:r w:rsidRPr="001F6B22">
        <w:rPr>
          <w:rFonts w:asciiTheme="majorHAnsi" w:eastAsia="MS Gothic" w:hAnsiTheme="majorHAnsi"/>
          <w:bCs/>
        </w:rPr>
        <w:t>ż</w:t>
      </w:r>
      <w:r w:rsidRPr="001F6B22">
        <w:rPr>
          <w:rFonts w:asciiTheme="majorHAnsi" w:eastAsia="MS Gothic" w:hAnsiTheme="majorHAnsi"/>
          <w:bCs/>
        </w:rPr>
        <w:t>liwe do zmiany hasła umożliwiające dostęp do licznika.</w:t>
      </w:r>
    </w:p>
    <w:p w14:paraId="0EAC5428" w14:textId="77777777" w:rsidR="00386AC4" w:rsidRPr="001F6B22" w:rsidRDefault="00386AC4" w:rsidP="005C1553">
      <w:pPr>
        <w:widowControl w:val="0"/>
        <w:numPr>
          <w:ilvl w:val="1"/>
          <w:numId w:val="66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 musi umożliwiać zdalną i lokalną aktywację oraz </w:t>
      </w:r>
      <w:proofErr w:type="spellStart"/>
      <w:r w:rsidRPr="001F6B22">
        <w:rPr>
          <w:rFonts w:asciiTheme="majorHAnsi" w:eastAsia="MS Gothic" w:hAnsiTheme="majorHAnsi"/>
          <w:bCs/>
        </w:rPr>
        <w:t>deaktywację</w:t>
      </w:r>
      <w:proofErr w:type="spellEnd"/>
      <w:r w:rsidRPr="001F6B22">
        <w:rPr>
          <w:rFonts w:asciiTheme="majorHAnsi" w:eastAsia="MS Gothic" w:hAnsiTheme="majorHAnsi"/>
          <w:bCs/>
        </w:rPr>
        <w:t xml:space="preserve"> każdego interfejsu niezależnie.</w:t>
      </w:r>
    </w:p>
    <w:p w14:paraId="04253B42" w14:textId="77777777" w:rsidR="00386AC4" w:rsidRPr="001F6B22" w:rsidRDefault="00386AC4" w:rsidP="005C1553">
      <w:pPr>
        <w:widowControl w:val="0"/>
        <w:numPr>
          <w:ilvl w:val="1"/>
          <w:numId w:val="67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35EF359" w14:textId="77777777" w:rsidR="00386AC4" w:rsidRPr="001F6B22" w:rsidRDefault="00386AC4" w:rsidP="005C1553">
      <w:pPr>
        <w:widowControl w:val="0"/>
        <w:numPr>
          <w:ilvl w:val="1"/>
          <w:numId w:val="67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CAA62CB" w14:textId="77777777" w:rsidR="00386AC4" w:rsidRPr="001F6B22" w:rsidRDefault="00386AC4" w:rsidP="00232859">
      <w:pPr>
        <w:widowControl w:val="0"/>
        <w:numPr>
          <w:ilvl w:val="1"/>
          <w:numId w:val="67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F9CC7D4" w14:textId="77777777" w:rsidR="00386AC4" w:rsidRPr="005C1553" w:rsidRDefault="00386AC4" w:rsidP="00232859">
      <w:pPr>
        <w:widowControl w:val="0"/>
        <w:numPr>
          <w:ilvl w:val="1"/>
          <w:numId w:val="68"/>
        </w:numPr>
        <w:spacing w:after="60" w:line="260" w:lineRule="exact"/>
        <w:jc w:val="both"/>
        <w:rPr>
          <w:rFonts w:asciiTheme="majorHAnsi" w:eastAsia="MS Gothic" w:hAnsiTheme="majorHAnsi"/>
          <w:bCs/>
          <w:spacing w:val="-2"/>
        </w:rPr>
      </w:pPr>
      <w:r w:rsidRPr="005C1553">
        <w:rPr>
          <w:rFonts w:asciiTheme="majorHAnsi" w:eastAsia="MS Gothic" w:hAnsiTheme="majorHAnsi"/>
          <w:bCs/>
          <w:spacing w:val="-2"/>
        </w:rPr>
        <w:t xml:space="preserve">Komunikacja zdalna z licznikiem musi być zabezpieczona za pomocą kryptograficznych środków ochrony – HLS i szyfrowania na poziomie </w:t>
      </w:r>
      <w:proofErr w:type="gramStart"/>
      <w:r w:rsidRPr="005C1553">
        <w:rPr>
          <w:rFonts w:asciiTheme="majorHAnsi" w:eastAsia="MS Gothic" w:hAnsiTheme="majorHAnsi"/>
          <w:bCs/>
          <w:spacing w:val="-2"/>
        </w:rPr>
        <w:t>równoważnym co</w:t>
      </w:r>
      <w:proofErr w:type="gramEnd"/>
      <w:r w:rsidRPr="005C1553">
        <w:rPr>
          <w:rFonts w:asciiTheme="majorHAnsi" w:eastAsia="MS Gothic" w:hAnsiTheme="majorHAnsi"/>
          <w:bCs/>
          <w:spacing w:val="-2"/>
        </w:rPr>
        <w:t xml:space="preserve"> najmniej z AES128, także w wypadku uwierzytelniania hasłami.</w:t>
      </w:r>
    </w:p>
    <w:p w14:paraId="3CAB1829" w14:textId="77777777" w:rsidR="00386AC4" w:rsidRPr="001F6B22" w:rsidRDefault="00386AC4" w:rsidP="005C1553">
      <w:pPr>
        <w:widowControl w:val="0"/>
        <w:numPr>
          <w:ilvl w:val="1"/>
          <w:numId w:val="68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Komunikacja z Systemem Centralnym musi być szyfrowana algorytmem o długości klucza 128 bitów według specyfikacji AES lub równoważnej zapewniającej ten sam poziom bezpieczeństwa.</w:t>
      </w:r>
    </w:p>
    <w:p w14:paraId="0ACAB863" w14:textId="77777777" w:rsidR="00386AC4" w:rsidRPr="001F6B22" w:rsidRDefault="00386AC4" w:rsidP="005C1553">
      <w:pPr>
        <w:widowControl w:val="0"/>
        <w:numPr>
          <w:ilvl w:val="1"/>
          <w:numId w:val="6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105920" w14:textId="77777777" w:rsidR="00386AC4" w:rsidRPr="001F6B22" w:rsidRDefault="00386AC4" w:rsidP="005C1553">
      <w:pPr>
        <w:widowControl w:val="0"/>
        <w:numPr>
          <w:ilvl w:val="1"/>
          <w:numId w:val="6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437EC13" w14:textId="77777777" w:rsidR="00386AC4" w:rsidRPr="001F6B22" w:rsidRDefault="00386AC4" w:rsidP="005C1553">
      <w:pPr>
        <w:widowControl w:val="0"/>
        <w:numPr>
          <w:ilvl w:val="1"/>
          <w:numId w:val="6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06891BC" w14:textId="77777777" w:rsidR="00386AC4" w:rsidRPr="001F6B22" w:rsidRDefault="00386AC4" w:rsidP="005C1553">
      <w:pPr>
        <w:widowControl w:val="0"/>
        <w:numPr>
          <w:ilvl w:val="1"/>
          <w:numId w:val="6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6ABA473" w14:textId="77777777" w:rsidR="00386AC4" w:rsidRPr="001F6B22" w:rsidRDefault="00386AC4" w:rsidP="005C1553">
      <w:pPr>
        <w:widowControl w:val="0"/>
        <w:numPr>
          <w:ilvl w:val="1"/>
          <w:numId w:val="69"/>
        </w:numPr>
        <w:spacing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1D0B0BC" w14:textId="77777777" w:rsidR="00386AC4" w:rsidRPr="001F6B22" w:rsidRDefault="00386AC4" w:rsidP="00232859">
      <w:pPr>
        <w:widowControl w:val="0"/>
        <w:numPr>
          <w:ilvl w:val="1"/>
          <w:numId w:val="69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18F7C9" w14:textId="77777777" w:rsidR="00386AC4" w:rsidRPr="001F6B22" w:rsidRDefault="00386AC4" w:rsidP="00232859">
      <w:pPr>
        <w:widowControl w:val="0"/>
        <w:numPr>
          <w:ilvl w:val="1"/>
          <w:numId w:val="70"/>
        </w:numPr>
        <w:spacing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Urządzenie musi być odporne na ataki </w:t>
      </w:r>
      <w:proofErr w:type="spellStart"/>
      <w:r w:rsidRPr="001F6B22">
        <w:rPr>
          <w:rFonts w:asciiTheme="majorHAnsi" w:eastAsia="MS Gothic" w:hAnsiTheme="majorHAnsi"/>
          <w:bCs/>
        </w:rPr>
        <w:t>DoS</w:t>
      </w:r>
      <w:proofErr w:type="spellEnd"/>
      <w:r w:rsidRPr="001F6B22">
        <w:rPr>
          <w:rFonts w:asciiTheme="majorHAnsi" w:eastAsia="MS Gothic" w:hAnsiTheme="majorHAnsi"/>
          <w:bCs/>
        </w:rPr>
        <w:t xml:space="preserve">, przez co należy rozumieć możliwość niezakłóconej realizacji funkcji metrologicznych licznika w razie ataku </w:t>
      </w:r>
      <w:proofErr w:type="spellStart"/>
      <w:r w:rsidRPr="001F6B22">
        <w:rPr>
          <w:rFonts w:asciiTheme="majorHAnsi" w:eastAsia="MS Gothic" w:hAnsiTheme="majorHAnsi"/>
          <w:bCs/>
        </w:rPr>
        <w:t>DoS</w:t>
      </w:r>
      <w:proofErr w:type="spellEnd"/>
      <w:r w:rsidRPr="001F6B22">
        <w:rPr>
          <w:rFonts w:asciiTheme="majorHAnsi" w:eastAsia="MS Gothic" w:hAnsiTheme="majorHAnsi"/>
          <w:bCs/>
        </w:rPr>
        <w:t>.</w:t>
      </w:r>
    </w:p>
    <w:p w14:paraId="76CD4758" w14:textId="77777777" w:rsidR="00386AC4" w:rsidRPr="001F6B22" w:rsidRDefault="00386AC4" w:rsidP="00232859">
      <w:pPr>
        <w:spacing w:after="120" w:line="260" w:lineRule="exact"/>
        <w:jc w:val="center"/>
        <w:rPr>
          <w:rFonts w:asciiTheme="majorHAnsi" w:hAnsiTheme="majorHAnsi" w:cs="Arial"/>
          <w:sz w:val="22"/>
          <w:szCs w:val="22"/>
        </w:rPr>
      </w:pPr>
    </w:p>
    <w:p w14:paraId="5294B7DC" w14:textId="77777777" w:rsidR="00386AC4" w:rsidRPr="001F6B22" w:rsidRDefault="00386AC4" w:rsidP="00232859">
      <w:pPr>
        <w:widowControl w:val="0"/>
        <w:spacing w:before="60" w:after="60" w:line="260" w:lineRule="exact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F6B22">
        <w:rPr>
          <w:rFonts w:asciiTheme="majorHAnsi" w:hAnsiTheme="majorHAnsi"/>
          <w:b/>
          <w:sz w:val="22"/>
          <w:szCs w:val="22"/>
          <w:u w:val="single"/>
        </w:rPr>
        <w:t>WYMAGANIA TECHNICZNE DLA KONCENTRATORÓW</w:t>
      </w:r>
    </w:p>
    <w:p w14:paraId="2E5E481E" w14:textId="77777777" w:rsidR="00386AC4" w:rsidRPr="001F6B22" w:rsidRDefault="00386AC4" w:rsidP="005C1553">
      <w:pPr>
        <w:widowControl w:val="0"/>
        <w:numPr>
          <w:ilvl w:val="0"/>
          <w:numId w:val="92"/>
        </w:numPr>
        <w:spacing w:before="60" w:line="260" w:lineRule="exact"/>
        <w:ind w:left="357" w:hanging="357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0532FD0" w14:textId="3565F065" w:rsidR="00386AC4" w:rsidRPr="001F6B22" w:rsidRDefault="00386AC4" w:rsidP="005C1553">
      <w:pPr>
        <w:widowControl w:val="0"/>
        <w:numPr>
          <w:ilvl w:val="0"/>
          <w:numId w:val="93"/>
        </w:numPr>
        <w:spacing w:line="260" w:lineRule="exact"/>
        <w:ind w:left="357" w:hanging="357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25DF3C3" w14:textId="77777777" w:rsidR="00386AC4" w:rsidRPr="001F6B22" w:rsidRDefault="00386AC4" w:rsidP="005C1553">
      <w:pPr>
        <w:widowControl w:val="0"/>
        <w:numPr>
          <w:ilvl w:val="0"/>
          <w:numId w:val="94"/>
        </w:numPr>
        <w:spacing w:line="260" w:lineRule="exact"/>
        <w:ind w:left="357" w:hanging="357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6EE7FE" w14:textId="77777777" w:rsidR="00386AC4" w:rsidRPr="001F6B22" w:rsidRDefault="00386AC4" w:rsidP="00232859">
      <w:pPr>
        <w:widowControl w:val="0"/>
        <w:numPr>
          <w:ilvl w:val="0"/>
          <w:numId w:val="7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  <w:b/>
        </w:rPr>
        <w:t>Konfiguracja koncentratora</w:t>
      </w:r>
    </w:p>
    <w:p w14:paraId="1FC6B68B" w14:textId="77777777" w:rsidR="00386AC4" w:rsidRPr="001F6B22" w:rsidRDefault="00386AC4" w:rsidP="00232859">
      <w:pPr>
        <w:widowControl w:val="0"/>
        <w:numPr>
          <w:ilvl w:val="1"/>
          <w:numId w:val="8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</w:rPr>
        <w:t>Jakiekolwiek zakłócenie lub przerwanie komunikacji w procesie parametryzacji koncentratora lub zmiany jego oprogramowania (</w:t>
      </w:r>
      <w:proofErr w:type="spellStart"/>
      <w:r w:rsidRPr="001F6B22">
        <w:rPr>
          <w:rFonts w:asciiTheme="majorHAnsi" w:eastAsia="MS Gothic" w:hAnsiTheme="majorHAnsi"/>
          <w:bCs/>
        </w:rPr>
        <w:t>firmware</w:t>
      </w:r>
      <w:proofErr w:type="spellEnd"/>
      <w:r w:rsidRPr="001F6B22">
        <w:rPr>
          <w:rFonts w:asciiTheme="majorHAnsi" w:eastAsia="MS Gothic" w:hAnsiTheme="majorHAnsi"/>
          <w:bCs/>
        </w:rPr>
        <w:t xml:space="preserve">), nie może powodować uszkodzenia koncentratora lub wprowadzenia go w stan powodujący jego błędne działanie, w tym niezgodne z dotychczasową parametryzacją lub zmienianym </w:t>
      </w:r>
      <w:proofErr w:type="spellStart"/>
      <w:r w:rsidRPr="001F6B22">
        <w:rPr>
          <w:rFonts w:asciiTheme="majorHAnsi" w:eastAsia="MS Gothic" w:hAnsiTheme="majorHAnsi"/>
          <w:bCs/>
        </w:rPr>
        <w:t>firmw</w:t>
      </w:r>
      <w:r w:rsidRPr="001F6B22">
        <w:rPr>
          <w:rFonts w:asciiTheme="majorHAnsi" w:eastAsia="MS Gothic" w:hAnsiTheme="majorHAnsi"/>
          <w:bCs/>
        </w:rPr>
        <w:t>a</w:t>
      </w:r>
      <w:r w:rsidRPr="001F6B22">
        <w:rPr>
          <w:rFonts w:asciiTheme="majorHAnsi" w:eastAsia="MS Gothic" w:hAnsiTheme="majorHAnsi"/>
          <w:bCs/>
        </w:rPr>
        <w:t>re</w:t>
      </w:r>
      <w:proofErr w:type="spellEnd"/>
      <w:r w:rsidRPr="001F6B22">
        <w:rPr>
          <w:rFonts w:asciiTheme="majorHAnsi" w:eastAsia="MS Gothic" w:hAnsiTheme="majorHAnsi"/>
          <w:bCs/>
        </w:rPr>
        <w:t xml:space="preserve">. </w:t>
      </w:r>
      <w:r w:rsidRPr="001F6B22">
        <w:rPr>
          <w:rFonts w:asciiTheme="majorHAnsi" w:hAnsiTheme="majorHAnsi" w:cs="Calibri"/>
        </w:rPr>
        <w:t>Parametryzacja koncentratora i zmiana oprogramowania musi odbywać się zgodnie z procedurą parametr</w:t>
      </w:r>
      <w:r w:rsidRPr="001F6B22">
        <w:rPr>
          <w:rFonts w:asciiTheme="majorHAnsi" w:hAnsiTheme="majorHAnsi" w:cs="Calibri"/>
        </w:rPr>
        <w:t>y</w:t>
      </w:r>
      <w:r w:rsidRPr="001F6B22">
        <w:rPr>
          <w:rFonts w:asciiTheme="majorHAnsi" w:hAnsiTheme="majorHAnsi" w:cs="Calibri"/>
        </w:rPr>
        <w:t xml:space="preserve">zacji </w:t>
      </w:r>
      <w:proofErr w:type="gramStart"/>
      <w:r w:rsidRPr="001F6B22">
        <w:rPr>
          <w:rFonts w:asciiTheme="majorHAnsi" w:hAnsiTheme="majorHAnsi" w:cs="Calibri"/>
        </w:rPr>
        <w:t>sesyjnej co</w:t>
      </w:r>
      <w:proofErr w:type="gramEnd"/>
      <w:r w:rsidRPr="001F6B22">
        <w:rPr>
          <w:rFonts w:asciiTheme="majorHAnsi" w:hAnsiTheme="majorHAnsi" w:cs="Calibri"/>
        </w:rPr>
        <w:t xml:space="preserve"> oznacza, że jakiekolwiek zakłócenie lub przerwanie komunikacji w procesie parametryzacji koncentratora lub zmiany jego </w:t>
      </w:r>
      <w:proofErr w:type="spellStart"/>
      <w:r w:rsidRPr="001F6B22">
        <w:rPr>
          <w:rFonts w:asciiTheme="majorHAnsi" w:hAnsiTheme="majorHAnsi" w:cs="Calibri"/>
        </w:rPr>
        <w:t>firmware</w:t>
      </w:r>
      <w:proofErr w:type="spellEnd"/>
      <w:r w:rsidRPr="001F6B22">
        <w:rPr>
          <w:rFonts w:asciiTheme="majorHAnsi" w:hAnsiTheme="majorHAnsi" w:cs="Calibri"/>
        </w:rPr>
        <w:t xml:space="preserve"> nie może powodować uszkodzenia koncentratora lub wprowadzenia go w stan powodujący jego błędne działanie, w tym niezgodne z dotychczasową parametryzacją lub zmienianym </w:t>
      </w:r>
      <w:proofErr w:type="spellStart"/>
      <w:r w:rsidRPr="001F6B22">
        <w:rPr>
          <w:rFonts w:asciiTheme="majorHAnsi" w:hAnsiTheme="majorHAnsi" w:cs="Calibri"/>
        </w:rPr>
        <w:t>firmware</w:t>
      </w:r>
      <w:proofErr w:type="spellEnd"/>
      <w:r w:rsidRPr="001F6B22">
        <w:rPr>
          <w:rFonts w:asciiTheme="majorHAnsi" w:hAnsiTheme="majorHAnsi" w:cs="Calibri"/>
        </w:rPr>
        <w:t>. W takim wypadku koncentrator musi zachować wszystkie ustawienia sprzed parametryzacji, a opr</w:t>
      </w:r>
      <w:r w:rsidRPr="001F6B22">
        <w:rPr>
          <w:rFonts w:asciiTheme="majorHAnsi" w:hAnsiTheme="majorHAnsi" w:cs="Calibri"/>
        </w:rPr>
        <w:t>o</w:t>
      </w:r>
      <w:r w:rsidRPr="001F6B22">
        <w:rPr>
          <w:rFonts w:asciiTheme="majorHAnsi" w:hAnsiTheme="majorHAnsi" w:cs="Calibri"/>
        </w:rPr>
        <w:t xml:space="preserve">gramowanie </w:t>
      </w:r>
      <w:proofErr w:type="spellStart"/>
      <w:r w:rsidRPr="001F6B22">
        <w:rPr>
          <w:rFonts w:asciiTheme="majorHAnsi" w:hAnsiTheme="majorHAnsi" w:cs="Calibri"/>
        </w:rPr>
        <w:t>parametryzacyjne</w:t>
      </w:r>
      <w:proofErr w:type="spellEnd"/>
      <w:r w:rsidRPr="001F6B22">
        <w:rPr>
          <w:rFonts w:asciiTheme="majorHAnsi" w:hAnsiTheme="majorHAnsi" w:cs="Calibri"/>
        </w:rPr>
        <w:t xml:space="preserve"> musi </w:t>
      </w:r>
      <w:proofErr w:type="gramStart"/>
      <w:r w:rsidRPr="001F6B22">
        <w:rPr>
          <w:rFonts w:asciiTheme="majorHAnsi" w:hAnsiTheme="majorHAnsi" w:cs="Calibri"/>
        </w:rPr>
        <w:t>sygnalizować że</w:t>
      </w:r>
      <w:proofErr w:type="gramEnd"/>
      <w:r w:rsidRPr="001F6B22">
        <w:rPr>
          <w:rFonts w:asciiTheme="majorHAnsi" w:hAnsiTheme="majorHAnsi" w:cs="Calibri"/>
        </w:rPr>
        <w:t xml:space="preserve"> parametryzacja nie została w całości zakończona i info</w:t>
      </w:r>
      <w:r w:rsidRPr="001F6B22">
        <w:rPr>
          <w:rFonts w:asciiTheme="majorHAnsi" w:hAnsiTheme="majorHAnsi" w:cs="Calibri"/>
        </w:rPr>
        <w:t>r</w:t>
      </w:r>
      <w:r w:rsidRPr="001F6B22">
        <w:rPr>
          <w:rFonts w:asciiTheme="majorHAnsi" w:hAnsiTheme="majorHAnsi" w:cs="Calibri"/>
        </w:rPr>
        <w:t>mować o konieczności jej powtórnego wprowadzenia do koncentratora.</w:t>
      </w:r>
    </w:p>
    <w:p w14:paraId="2555BFF9" w14:textId="77777777" w:rsidR="00386AC4" w:rsidRPr="001F6B22" w:rsidRDefault="00386AC4" w:rsidP="00232859">
      <w:pPr>
        <w:widowControl w:val="0"/>
        <w:numPr>
          <w:ilvl w:val="1"/>
          <w:numId w:val="81"/>
        </w:numPr>
        <w:spacing w:before="60"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Oprogramowanie winno informować odpowiednio o sposobie zakończenia procesu parametryzacji licznika l</w:t>
      </w:r>
      <w:r w:rsidRPr="001F6B22">
        <w:rPr>
          <w:rFonts w:asciiTheme="majorHAnsi" w:hAnsiTheme="majorHAnsi" w:cs="Calibri"/>
        </w:rPr>
        <w:t>ub zmiany oprogramowania</w:t>
      </w:r>
      <w:r w:rsidRPr="001F6B22">
        <w:rPr>
          <w:rFonts w:asciiTheme="majorHAnsi" w:eastAsia="MS Gothic" w:hAnsiTheme="majorHAnsi"/>
          <w:bCs/>
        </w:rPr>
        <w:t>.</w:t>
      </w:r>
    </w:p>
    <w:p w14:paraId="66AEE37A" w14:textId="77777777" w:rsidR="00386AC4" w:rsidRPr="001F6B22" w:rsidRDefault="00386AC4" w:rsidP="00232859">
      <w:pPr>
        <w:pStyle w:val="Akapitzlist"/>
        <w:widowControl w:val="0"/>
        <w:numPr>
          <w:ilvl w:val="0"/>
          <w:numId w:val="76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bookmarkStart w:id="8" w:name="_Ref399441881"/>
      <w:r w:rsidRPr="001F6B22">
        <w:rPr>
          <w:rFonts w:asciiTheme="majorHAnsi" w:hAnsiTheme="majorHAnsi"/>
          <w:b/>
        </w:rPr>
        <w:t>Wykrywanie</w:t>
      </w:r>
      <w:r w:rsidRPr="001F6B22">
        <w:rPr>
          <w:rFonts w:asciiTheme="majorHAnsi" w:eastAsia="MS Gothic" w:hAnsiTheme="majorHAnsi"/>
          <w:b/>
          <w:bCs/>
        </w:rPr>
        <w:t xml:space="preserve"> i rejestracja </w:t>
      </w:r>
      <w:r w:rsidRPr="001F6B22">
        <w:rPr>
          <w:rFonts w:asciiTheme="majorHAnsi" w:hAnsiTheme="majorHAnsi"/>
          <w:b/>
          <w:bCs/>
        </w:rPr>
        <w:t>zdarzeń</w:t>
      </w:r>
      <w:bookmarkEnd w:id="8"/>
    </w:p>
    <w:p w14:paraId="5E59A72B" w14:textId="48768701" w:rsidR="00386AC4" w:rsidRPr="001F6B22" w:rsidRDefault="00386AC4" w:rsidP="00232859">
      <w:pPr>
        <w:pStyle w:val="Akapitzlist"/>
        <w:widowControl w:val="0"/>
        <w:numPr>
          <w:ilvl w:val="1"/>
          <w:numId w:val="76"/>
        </w:numPr>
        <w:spacing w:before="60" w:after="60" w:line="260" w:lineRule="exact"/>
        <w:jc w:val="both"/>
        <w:rPr>
          <w:rFonts w:asciiTheme="majorHAnsi" w:hAnsiTheme="majorHAnsi"/>
        </w:rPr>
      </w:pPr>
      <w:bookmarkStart w:id="9" w:name="_Ref395787058"/>
      <w:r w:rsidRPr="001F6B22">
        <w:rPr>
          <w:rFonts w:asciiTheme="majorHAnsi" w:hAnsiTheme="majorHAnsi"/>
        </w:rPr>
        <w:t>Koncentrator musi</w:t>
      </w:r>
      <w:r w:rsidR="006B1801">
        <w:rPr>
          <w:rFonts w:asciiTheme="majorHAnsi" w:hAnsiTheme="majorHAnsi"/>
        </w:rPr>
        <w:t xml:space="preserve"> </w:t>
      </w:r>
      <w:proofErr w:type="gramStart"/>
      <w:r w:rsidRPr="001F6B22">
        <w:rPr>
          <w:rFonts w:asciiTheme="majorHAnsi" w:hAnsiTheme="majorHAnsi"/>
        </w:rPr>
        <w:t>rejestrować co</w:t>
      </w:r>
      <w:proofErr w:type="gramEnd"/>
      <w:r w:rsidRPr="001F6B22">
        <w:rPr>
          <w:rFonts w:asciiTheme="majorHAnsi" w:hAnsiTheme="majorHAnsi"/>
        </w:rPr>
        <w:t xml:space="preserve"> najmniej następujące informacje o zdarzeniach:</w:t>
      </w:r>
      <w:bookmarkEnd w:id="9"/>
    </w:p>
    <w:p w14:paraId="306F1362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0476C9F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F1ED752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D372A2D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859BB77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579AA22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780B564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FBB8B67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8DFD299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D9F0BCC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994979B" w14:textId="77777777" w:rsidR="00386AC4" w:rsidRPr="001F6B22" w:rsidRDefault="00386AC4" w:rsidP="00232859">
      <w:pPr>
        <w:pStyle w:val="Akapitzlist"/>
        <w:widowControl w:val="0"/>
        <w:numPr>
          <w:ilvl w:val="2"/>
          <w:numId w:val="77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488F0F2" w14:textId="77777777" w:rsidR="00386AC4" w:rsidRPr="001F6B22" w:rsidRDefault="00386AC4" w:rsidP="00232859">
      <w:pPr>
        <w:pStyle w:val="Akapitzlist"/>
        <w:widowControl w:val="0"/>
        <w:numPr>
          <w:ilvl w:val="2"/>
          <w:numId w:val="14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zmiana</w:t>
      </w:r>
      <w:proofErr w:type="gramEnd"/>
      <w:r w:rsidRPr="001F6B22">
        <w:rPr>
          <w:rFonts w:asciiTheme="majorHAnsi" w:hAnsiTheme="majorHAnsi"/>
        </w:rPr>
        <w:t xml:space="preserve"> parametryzacji koncentratora,</w:t>
      </w:r>
    </w:p>
    <w:p w14:paraId="04905360" w14:textId="77777777" w:rsidR="00386AC4" w:rsidRPr="001F6B22" w:rsidRDefault="00386AC4" w:rsidP="00232859">
      <w:pPr>
        <w:pStyle w:val="Akapitzlist"/>
        <w:widowControl w:val="0"/>
        <w:numPr>
          <w:ilvl w:val="2"/>
          <w:numId w:val="14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modyfikacja</w:t>
      </w:r>
      <w:proofErr w:type="gramEnd"/>
      <w:r w:rsidRPr="001F6B22">
        <w:rPr>
          <w:rFonts w:asciiTheme="majorHAnsi" w:hAnsiTheme="majorHAnsi"/>
        </w:rPr>
        <w:t xml:space="preserve"> i wymiana oprogramowania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 koncentratora,</w:t>
      </w:r>
    </w:p>
    <w:p w14:paraId="2FDB4D16" w14:textId="77777777" w:rsidR="00386AC4" w:rsidRPr="001F6B22" w:rsidRDefault="00386AC4" w:rsidP="00232859">
      <w:pPr>
        <w:pStyle w:val="Akapitzlist"/>
        <w:widowControl w:val="0"/>
        <w:numPr>
          <w:ilvl w:val="2"/>
          <w:numId w:val="142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B291C36" w14:textId="77777777" w:rsidR="00386AC4" w:rsidRPr="001F6B22" w:rsidRDefault="00386AC4" w:rsidP="00232859">
      <w:pPr>
        <w:pStyle w:val="Akapitzlist"/>
        <w:widowControl w:val="0"/>
        <w:numPr>
          <w:ilvl w:val="2"/>
          <w:numId w:val="142"/>
        </w:numPr>
        <w:spacing w:before="60" w:after="60" w:line="260" w:lineRule="exact"/>
        <w:jc w:val="both"/>
        <w:rPr>
          <w:rFonts w:asciiTheme="majorHAnsi" w:hAnsiTheme="majorHAnsi"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32C0794" w14:textId="77777777" w:rsidR="00386AC4" w:rsidRPr="001F6B22" w:rsidRDefault="00386AC4" w:rsidP="00232859">
      <w:pPr>
        <w:pStyle w:val="Akapitzlist"/>
        <w:widowControl w:val="0"/>
        <w:numPr>
          <w:ilvl w:val="2"/>
          <w:numId w:val="143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pierwszą</w:t>
      </w:r>
      <w:proofErr w:type="gramEnd"/>
      <w:r w:rsidRPr="001F6B22">
        <w:rPr>
          <w:rFonts w:asciiTheme="majorHAnsi" w:hAnsiTheme="majorHAnsi"/>
        </w:rPr>
        <w:t xml:space="preserve"> rejestrację licznika w koncentratorze,</w:t>
      </w:r>
    </w:p>
    <w:p w14:paraId="0B2B88F1" w14:textId="77777777" w:rsidR="00386AC4" w:rsidRPr="001F6B22" w:rsidRDefault="00386AC4" w:rsidP="00232859">
      <w:pPr>
        <w:pStyle w:val="Akapitzlist"/>
        <w:widowControl w:val="0"/>
        <w:numPr>
          <w:ilvl w:val="2"/>
          <w:numId w:val="143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ostatnią</w:t>
      </w:r>
      <w:proofErr w:type="gramEnd"/>
      <w:r w:rsidRPr="001F6B22">
        <w:rPr>
          <w:rFonts w:asciiTheme="majorHAnsi" w:hAnsiTheme="majorHAnsi"/>
        </w:rPr>
        <w:t xml:space="preserve"> skuteczną komunikację z licznikiem,</w:t>
      </w:r>
    </w:p>
    <w:p w14:paraId="203146AA" w14:textId="77777777" w:rsidR="00386AC4" w:rsidRPr="001F6B22" w:rsidRDefault="00386AC4" w:rsidP="00232859">
      <w:pPr>
        <w:pStyle w:val="Akapitzlist"/>
        <w:widowControl w:val="0"/>
        <w:numPr>
          <w:ilvl w:val="2"/>
          <w:numId w:val="143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podłączenie</w:t>
      </w:r>
      <w:proofErr w:type="gramEnd"/>
      <w:r w:rsidRPr="001F6B22">
        <w:rPr>
          <w:rFonts w:asciiTheme="majorHAnsi" w:hAnsiTheme="majorHAnsi"/>
        </w:rPr>
        <w:t xml:space="preserve"> do lokalnego interfejsu komunikacyjnego koncentratora,</w:t>
      </w:r>
    </w:p>
    <w:p w14:paraId="1D70BBAE" w14:textId="3FCE1E98" w:rsidR="00386AC4" w:rsidRPr="001F6B22" w:rsidRDefault="00386AC4" w:rsidP="00232859">
      <w:pPr>
        <w:pStyle w:val="Akapitzlist"/>
        <w:widowControl w:val="0"/>
        <w:numPr>
          <w:ilvl w:val="2"/>
          <w:numId w:val="143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zdarzenia</w:t>
      </w:r>
      <w:proofErr w:type="gramEnd"/>
      <w:r w:rsidRPr="001F6B22">
        <w:rPr>
          <w:rFonts w:asciiTheme="majorHAnsi" w:hAnsiTheme="majorHAnsi"/>
        </w:rPr>
        <w:t xml:space="preserve"> określone w pkt </w:t>
      </w:r>
      <w:r w:rsidRPr="001F6B22">
        <w:rPr>
          <w:rFonts w:asciiTheme="majorHAnsi" w:hAnsiTheme="majorHAnsi"/>
        </w:rPr>
        <w:fldChar w:fldCharType="begin"/>
      </w:r>
      <w:r w:rsidRPr="001F6B22">
        <w:rPr>
          <w:rFonts w:asciiTheme="majorHAnsi" w:hAnsiTheme="majorHAnsi"/>
        </w:rPr>
        <w:instrText xml:space="preserve"> REF _Ref391370177 \r \h  \* MERGEFORMAT </w:instrText>
      </w:r>
      <w:r w:rsidRPr="001F6B22">
        <w:rPr>
          <w:rFonts w:asciiTheme="majorHAnsi" w:hAnsiTheme="majorHAnsi"/>
        </w:rPr>
      </w:r>
      <w:r w:rsidRPr="001F6B22">
        <w:rPr>
          <w:rFonts w:asciiTheme="majorHAnsi" w:hAnsiTheme="majorHAnsi"/>
        </w:rPr>
        <w:fldChar w:fldCharType="separate"/>
      </w:r>
      <w:r w:rsidRPr="001F6B22">
        <w:rPr>
          <w:rFonts w:asciiTheme="majorHAnsi" w:hAnsiTheme="majorHAnsi"/>
        </w:rPr>
        <w:t>9.41</w:t>
      </w:r>
      <w:r w:rsidRPr="001F6B22">
        <w:rPr>
          <w:rFonts w:asciiTheme="majorHAnsi" w:hAnsiTheme="majorHAnsi"/>
        </w:rPr>
        <w:fldChar w:fldCharType="end"/>
      </w:r>
      <w:r w:rsidRPr="001F6B22">
        <w:rPr>
          <w:rFonts w:asciiTheme="majorHAnsi" w:hAnsiTheme="majorHAnsi"/>
        </w:rPr>
        <w:t>,</w:t>
      </w:r>
      <w:r w:rsidR="006B1801">
        <w:rPr>
          <w:rFonts w:asciiTheme="majorHAnsi" w:hAnsiTheme="majorHAnsi"/>
        </w:rPr>
        <w:t xml:space="preserve"> </w:t>
      </w:r>
    </w:p>
    <w:p w14:paraId="08DCC679" w14:textId="6954EB70" w:rsidR="00386AC4" w:rsidRPr="001F6B22" w:rsidRDefault="00386AC4" w:rsidP="00232859">
      <w:pPr>
        <w:pStyle w:val="Akapitzlist"/>
        <w:widowControl w:val="0"/>
        <w:numPr>
          <w:ilvl w:val="1"/>
          <w:numId w:val="7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Każda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 xml:space="preserve">informacja o zdarzeniu zarejestrowana przez koncentrator musi być </w:t>
      </w:r>
      <w:proofErr w:type="gramStart"/>
      <w:r w:rsidRPr="001F6B22">
        <w:rPr>
          <w:rFonts w:asciiTheme="majorHAnsi" w:hAnsiTheme="majorHAnsi"/>
        </w:rPr>
        <w:t>opisana co</w:t>
      </w:r>
      <w:proofErr w:type="gramEnd"/>
      <w:r w:rsidRPr="001F6B22">
        <w:rPr>
          <w:rFonts w:asciiTheme="majorHAnsi" w:hAnsiTheme="majorHAnsi"/>
        </w:rPr>
        <w:t xml:space="preserve"> najmniej następującymi atrybutami:</w:t>
      </w:r>
    </w:p>
    <w:p w14:paraId="18B6D5A5" w14:textId="77777777" w:rsidR="00386AC4" w:rsidRPr="001F6B22" w:rsidRDefault="00386AC4" w:rsidP="00232859">
      <w:pPr>
        <w:pStyle w:val="Akapitzlist"/>
        <w:widowControl w:val="0"/>
        <w:numPr>
          <w:ilvl w:val="2"/>
          <w:numId w:val="78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data</w:t>
      </w:r>
      <w:proofErr w:type="gramEnd"/>
      <w:r w:rsidRPr="001F6B22">
        <w:rPr>
          <w:rFonts w:asciiTheme="majorHAnsi" w:hAnsiTheme="majorHAnsi"/>
        </w:rPr>
        <w:t xml:space="preserve"> (rok, miesiąc, dzień) i czas w systemie 24h (godzinę, minutę i sekundę) wystąpienia zdarzenia lub początku i końca okresu, dla którego zdarzenie zostało zarejestrowane,</w:t>
      </w:r>
    </w:p>
    <w:p w14:paraId="392ECB92" w14:textId="77777777" w:rsidR="00386AC4" w:rsidRPr="001F6B22" w:rsidRDefault="00386AC4" w:rsidP="00232859">
      <w:pPr>
        <w:pStyle w:val="Akapitzlist"/>
        <w:widowControl w:val="0"/>
        <w:numPr>
          <w:ilvl w:val="2"/>
          <w:numId w:val="78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kod</w:t>
      </w:r>
      <w:proofErr w:type="gramEnd"/>
      <w:r w:rsidRPr="001F6B22">
        <w:rPr>
          <w:rFonts w:asciiTheme="majorHAnsi" w:hAnsiTheme="majorHAnsi"/>
        </w:rPr>
        <w:t xml:space="preserve"> właściwy dla zdarzenia, uwzględniający wszystkie informacje charakteryzujące zdarzenie, </w:t>
      </w:r>
      <w:r w:rsidRPr="001F6B22">
        <w:rPr>
          <w:rFonts w:asciiTheme="majorHAnsi" w:eastAsia="MS Gothic" w:hAnsiTheme="majorHAnsi"/>
          <w:bCs/>
        </w:rPr>
        <w:t>prze</w:t>
      </w:r>
      <w:r w:rsidRPr="001F6B22">
        <w:rPr>
          <w:rFonts w:asciiTheme="majorHAnsi" w:eastAsia="MS Gothic" w:hAnsiTheme="majorHAnsi"/>
          <w:bCs/>
        </w:rPr>
        <w:t>d</w:t>
      </w:r>
      <w:r w:rsidRPr="001F6B22">
        <w:rPr>
          <w:rFonts w:asciiTheme="majorHAnsi" w:eastAsia="MS Gothic" w:hAnsiTheme="majorHAnsi"/>
          <w:bCs/>
        </w:rPr>
        <w:t>stawiony liczbowo</w:t>
      </w:r>
      <w:r w:rsidRPr="001F6B22">
        <w:rPr>
          <w:rFonts w:asciiTheme="majorHAnsi" w:hAnsiTheme="majorHAnsi"/>
        </w:rPr>
        <w:t>.</w:t>
      </w:r>
    </w:p>
    <w:p w14:paraId="53447575" w14:textId="77777777" w:rsidR="00386AC4" w:rsidRPr="001F6B22" w:rsidRDefault="00386AC4" w:rsidP="00232859">
      <w:pPr>
        <w:pStyle w:val="Akapitzlist"/>
        <w:widowControl w:val="0"/>
        <w:numPr>
          <w:ilvl w:val="2"/>
          <w:numId w:val="78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numer</w:t>
      </w:r>
      <w:proofErr w:type="gramEnd"/>
      <w:r w:rsidRPr="001F6B22">
        <w:rPr>
          <w:rFonts w:asciiTheme="majorHAnsi" w:hAnsiTheme="majorHAnsi"/>
        </w:rPr>
        <w:t xml:space="preserve"> fabryczny urządzenia, którego dotyczy zdarzenie. </w:t>
      </w:r>
    </w:p>
    <w:p w14:paraId="045AE60B" w14:textId="15DD010E" w:rsidR="00386AC4" w:rsidRPr="001F6B22" w:rsidRDefault="00386AC4" w:rsidP="00232859">
      <w:pPr>
        <w:pStyle w:val="Akapitzlist"/>
        <w:widowControl w:val="0"/>
        <w:numPr>
          <w:ilvl w:val="1"/>
          <w:numId w:val="7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wybór do rejestracji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dowolnego zakresu (rodzaju) informacji o zdarzeniach, ze wszystkich informacji o zdarzeniach możliwych do rejestracji przez koncentrator, opisanych w pkt</w:t>
      </w:r>
      <w:proofErr w:type="gramStart"/>
      <w:r w:rsidRPr="001F6B22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fldChar w:fldCharType="begin"/>
      </w:r>
      <w:r w:rsidRPr="001F6B22">
        <w:rPr>
          <w:rFonts w:asciiTheme="majorHAnsi" w:hAnsiTheme="majorHAnsi"/>
        </w:rPr>
        <w:instrText xml:space="preserve"> REF _Ref395787058 \r \h  \* MERGEFORMAT </w:instrText>
      </w:r>
      <w:r w:rsidRPr="001F6B22">
        <w:rPr>
          <w:rFonts w:asciiTheme="majorHAnsi" w:hAnsiTheme="majorHAnsi"/>
        </w:rPr>
      </w:r>
      <w:r w:rsidRPr="001F6B22">
        <w:rPr>
          <w:rFonts w:asciiTheme="majorHAnsi" w:hAnsiTheme="majorHAnsi"/>
        </w:rPr>
        <w:fldChar w:fldCharType="separate"/>
      </w:r>
      <w:r w:rsidRPr="001F6B22">
        <w:rPr>
          <w:rFonts w:asciiTheme="majorHAnsi" w:hAnsiTheme="majorHAnsi"/>
        </w:rPr>
        <w:t>5.1</w:t>
      </w:r>
      <w:r w:rsidRPr="001F6B22">
        <w:rPr>
          <w:rFonts w:asciiTheme="majorHAnsi" w:hAnsiTheme="majorHAnsi"/>
        </w:rPr>
        <w:fldChar w:fldCharType="end"/>
      </w:r>
      <w:r w:rsidRPr="001F6B22">
        <w:rPr>
          <w:rFonts w:asciiTheme="majorHAnsi" w:hAnsiTheme="majorHAnsi"/>
        </w:rPr>
        <w:t>,</w:t>
      </w:r>
      <w:proofErr w:type="gramEnd"/>
      <w:r w:rsidRPr="001F6B22">
        <w:rPr>
          <w:rFonts w:asciiTheme="majorHAnsi" w:hAnsiTheme="majorHAnsi"/>
        </w:rPr>
        <w:t xml:space="preserve"> w celu ich udostępnienia na potrzeby Systemu Centralnego.</w:t>
      </w:r>
    </w:p>
    <w:p w14:paraId="2E37F3FC" w14:textId="77777777" w:rsidR="00386AC4" w:rsidRPr="001F6B22" w:rsidRDefault="00386AC4" w:rsidP="00232859">
      <w:pPr>
        <w:pStyle w:val="Akapitzlist"/>
        <w:widowControl w:val="0"/>
        <w:numPr>
          <w:ilvl w:val="0"/>
          <w:numId w:val="13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DFDF81" w14:textId="77777777" w:rsidR="00386AC4" w:rsidRPr="001F6B22" w:rsidRDefault="00386AC4" w:rsidP="00232859">
      <w:pPr>
        <w:pStyle w:val="Akapitzlist"/>
        <w:widowControl w:val="0"/>
        <w:numPr>
          <w:ilvl w:val="0"/>
          <w:numId w:val="140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r w:rsidRPr="001F6B22">
        <w:rPr>
          <w:rFonts w:asciiTheme="majorHAnsi" w:hAnsiTheme="majorHAnsi"/>
          <w:b/>
        </w:rPr>
        <w:t>Komunikacja</w:t>
      </w:r>
    </w:p>
    <w:p w14:paraId="0D8E14A2" w14:textId="77777777" w:rsidR="00386AC4" w:rsidRPr="001F6B22" w:rsidRDefault="00386AC4" w:rsidP="00232859">
      <w:pPr>
        <w:widowControl w:val="0"/>
        <w:spacing w:line="260" w:lineRule="exact"/>
        <w:rPr>
          <w:rFonts w:asciiTheme="majorHAnsi" w:hAnsiTheme="majorHAnsi"/>
          <w:b/>
        </w:rPr>
      </w:pPr>
      <w:r w:rsidRPr="001F6B22">
        <w:rPr>
          <w:rFonts w:asciiTheme="majorHAnsi" w:hAnsiTheme="majorHAnsi"/>
          <w:b/>
        </w:rPr>
        <w:t>Wymagania ogólne</w:t>
      </w:r>
    </w:p>
    <w:p w14:paraId="1EBA4A3E" w14:textId="77777777" w:rsidR="00386AC4" w:rsidRPr="001F6B22" w:rsidRDefault="00386AC4" w:rsidP="00232859">
      <w:pPr>
        <w:pStyle w:val="Akapitzlist"/>
        <w:widowControl w:val="0"/>
        <w:numPr>
          <w:ilvl w:val="1"/>
          <w:numId w:val="13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zapewniać spełnienie wymagania interoperacyjności na poziomie komunikacyjnym z liczn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kami.</w:t>
      </w:r>
    </w:p>
    <w:p w14:paraId="6BBEF99F" w14:textId="33DC98B2" w:rsidR="00386AC4" w:rsidRPr="001F6B22" w:rsidRDefault="00386AC4" w:rsidP="00232859">
      <w:pPr>
        <w:pStyle w:val="Akapitzlist"/>
        <w:widowControl w:val="0"/>
        <w:numPr>
          <w:ilvl w:val="1"/>
          <w:numId w:val="13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Musi być zapewniona możliwość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diagnostyki koncentratora przy jednoczesnym zachowaniu realizowanych przez to niego funkcji.</w:t>
      </w:r>
    </w:p>
    <w:p w14:paraId="187B4572" w14:textId="77777777" w:rsidR="00386AC4" w:rsidRPr="001F6B22" w:rsidRDefault="00386AC4" w:rsidP="00232859">
      <w:pPr>
        <w:pStyle w:val="Akapitzlist"/>
        <w:widowControl w:val="0"/>
        <w:numPr>
          <w:ilvl w:val="1"/>
          <w:numId w:val="9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C23E37B" w14:textId="77777777" w:rsidR="00386AC4" w:rsidRPr="001F6B22" w:rsidRDefault="00386AC4" w:rsidP="00232859">
      <w:pPr>
        <w:pStyle w:val="Akapitzlist"/>
        <w:widowControl w:val="0"/>
        <w:numPr>
          <w:ilvl w:val="1"/>
          <w:numId w:val="8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Musi istnieć możliwość zdalnej i lokalnej aktywacji i dezaktywacji każdego z interfejsów.</w:t>
      </w:r>
    </w:p>
    <w:p w14:paraId="17DAC0F3" w14:textId="77777777" w:rsidR="00386AC4" w:rsidRPr="001F6B22" w:rsidRDefault="00386AC4" w:rsidP="00232859">
      <w:pPr>
        <w:pStyle w:val="Akapitzlist"/>
        <w:widowControl w:val="0"/>
        <w:numPr>
          <w:ilvl w:val="1"/>
          <w:numId w:val="8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Wszystkie informacje przekazywane za pomocą koncentratora muszą być zaopatrzone w znacznik czasu oraz sumę kontrolną zapewniające spójność i integralność zabezpieczanej informacji, a także muszą być opatrzone identyfikatorem źródła ich pochodzenia (koncentratora).</w:t>
      </w:r>
    </w:p>
    <w:p w14:paraId="3E28E6E5" w14:textId="77777777" w:rsidR="00386AC4" w:rsidRPr="001F6B22" w:rsidRDefault="00386AC4" w:rsidP="00232859">
      <w:pPr>
        <w:pStyle w:val="Akapitzlist"/>
        <w:widowControl w:val="0"/>
        <w:numPr>
          <w:ilvl w:val="1"/>
          <w:numId w:val="8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odczyt (na żądanie) danych pomiarowych i informacji o zdarzeniach z obsług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wanych liczników: lokalnie i zdalnie.</w:t>
      </w:r>
    </w:p>
    <w:p w14:paraId="5EA9911B" w14:textId="77777777" w:rsidR="00386AC4" w:rsidRPr="001F6B22" w:rsidRDefault="00386AC4" w:rsidP="00232859">
      <w:pPr>
        <w:pStyle w:val="Akapitzlist"/>
        <w:widowControl w:val="0"/>
        <w:numPr>
          <w:ilvl w:val="1"/>
          <w:numId w:val="8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niezależną obsługę wszystkich interfejsów w trakcie trwania komunikacji.</w:t>
      </w:r>
    </w:p>
    <w:p w14:paraId="2A30A349" w14:textId="77777777" w:rsidR="00386AC4" w:rsidRPr="001F6B22" w:rsidRDefault="00386AC4" w:rsidP="00232859">
      <w:pPr>
        <w:pStyle w:val="Akapitzlist"/>
        <w:widowControl w:val="0"/>
        <w:numPr>
          <w:ilvl w:val="1"/>
          <w:numId w:val="8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6F4DF45" w14:textId="77777777" w:rsidR="00386AC4" w:rsidRPr="001F6B22" w:rsidRDefault="00386AC4" w:rsidP="00232859">
      <w:pPr>
        <w:pStyle w:val="Akapitzlist"/>
        <w:widowControl w:val="0"/>
        <w:numPr>
          <w:ilvl w:val="1"/>
          <w:numId w:val="8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B2612F1" w14:textId="77777777" w:rsidR="00386AC4" w:rsidRPr="001F6B22" w:rsidRDefault="00386AC4" w:rsidP="00232859">
      <w:pPr>
        <w:pStyle w:val="Akapitzlist"/>
        <w:widowControl w:val="0"/>
        <w:numPr>
          <w:ilvl w:val="1"/>
          <w:numId w:val="88"/>
        </w:numPr>
        <w:spacing w:before="60" w:after="60" w:line="260" w:lineRule="exact"/>
        <w:jc w:val="both"/>
        <w:rPr>
          <w:rFonts w:asciiTheme="majorHAnsi" w:hAnsiTheme="majorHAnsi"/>
        </w:rPr>
      </w:pPr>
      <w:bookmarkStart w:id="10" w:name="_Ref279855285"/>
      <w:r w:rsidRPr="001F6B22">
        <w:rPr>
          <w:rFonts w:asciiTheme="majorHAnsi" w:hAnsiTheme="majorHAnsi"/>
        </w:rPr>
        <w:t>Sygnalizacja o statusie pracy koncentratora musi być umiejscowiona na płycie frontowej koncentratora.</w:t>
      </w:r>
      <w:bookmarkEnd w:id="10"/>
    </w:p>
    <w:p w14:paraId="1EB155DC" w14:textId="77777777" w:rsidR="00386AC4" w:rsidRPr="001F6B22" w:rsidRDefault="00386AC4" w:rsidP="00232859">
      <w:pPr>
        <w:widowControl w:val="0"/>
        <w:spacing w:before="60" w:after="60" w:line="260" w:lineRule="exact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/>
          <w:bCs/>
        </w:rPr>
        <w:t>Komunikacja zewnętrzna, bezpośrednia z Systemem Centralnym</w:t>
      </w:r>
    </w:p>
    <w:p w14:paraId="14379624" w14:textId="77777777" w:rsidR="00386AC4" w:rsidRPr="001F6B22" w:rsidRDefault="00386AC4" w:rsidP="00232859">
      <w:pPr>
        <w:pStyle w:val="Akapitzlist"/>
        <w:widowControl w:val="0"/>
        <w:numPr>
          <w:ilvl w:val="1"/>
          <w:numId w:val="8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387A5EA" w14:textId="77777777" w:rsidR="00386AC4" w:rsidRPr="001F6B22" w:rsidRDefault="00386AC4" w:rsidP="00232859">
      <w:pPr>
        <w:pStyle w:val="Akapitzlist"/>
        <w:widowControl w:val="0"/>
        <w:numPr>
          <w:ilvl w:val="1"/>
          <w:numId w:val="89"/>
        </w:numPr>
        <w:spacing w:before="60" w:after="60" w:line="260" w:lineRule="exact"/>
        <w:jc w:val="both"/>
        <w:rPr>
          <w:rFonts w:asciiTheme="majorHAnsi" w:eastAsia="MS Gothic" w:hAnsiTheme="majorHAnsi"/>
          <w:bCs/>
          <w:color w:val="FFFFFF" w:themeColor="background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5F4DCBE" w14:textId="77777777" w:rsidR="00386AC4" w:rsidRPr="001F6B22" w:rsidRDefault="00386AC4" w:rsidP="00232859">
      <w:pPr>
        <w:pStyle w:val="Akapitzlist"/>
        <w:widowControl w:val="0"/>
        <w:numPr>
          <w:ilvl w:val="1"/>
          <w:numId w:val="8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być wyposażony w interfejs sieciowy w standardzie Ethernet 10/100 </w:t>
      </w:r>
      <w:proofErr w:type="spellStart"/>
      <w:r w:rsidRPr="001F6B22">
        <w:rPr>
          <w:rFonts w:asciiTheme="majorHAnsi" w:hAnsiTheme="majorHAnsi"/>
        </w:rPr>
        <w:t>Mbps</w:t>
      </w:r>
      <w:proofErr w:type="spellEnd"/>
      <w:r w:rsidRPr="001F6B22">
        <w:rPr>
          <w:rFonts w:asciiTheme="majorHAnsi" w:hAnsiTheme="majorHAnsi"/>
        </w:rPr>
        <w:t xml:space="preserve"> (gniazdo RJ-45), umożliwiający wykorzystanie protokołu TCP/IP w wersji 4 oraz w wersji 6. </w:t>
      </w:r>
    </w:p>
    <w:p w14:paraId="4DC563F4" w14:textId="77777777" w:rsidR="00386AC4" w:rsidRPr="001F6B22" w:rsidRDefault="00386AC4" w:rsidP="00232859">
      <w:pPr>
        <w:pStyle w:val="Akapitzlist"/>
        <w:widowControl w:val="0"/>
        <w:numPr>
          <w:ilvl w:val="1"/>
          <w:numId w:val="8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mieć możliwość podłączenia do modemu lub routera za pośrednictwem łącza Ethernet/RJ-45.</w:t>
      </w:r>
    </w:p>
    <w:p w14:paraId="28985618" w14:textId="77777777" w:rsidR="00386AC4" w:rsidRPr="001F6B22" w:rsidRDefault="00386AC4" w:rsidP="00232859">
      <w:pPr>
        <w:pStyle w:val="Akapitzlist"/>
        <w:widowControl w:val="0"/>
        <w:numPr>
          <w:ilvl w:val="1"/>
          <w:numId w:val="8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wspierać dynamiczną i statyczną adresację IP.</w:t>
      </w:r>
    </w:p>
    <w:p w14:paraId="772B9103" w14:textId="77777777" w:rsidR="00386AC4" w:rsidRPr="001F6B22" w:rsidRDefault="00386AC4" w:rsidP="00232859">
      <w:pPr>
        <w:pStyle w:val="Akapitzlist"/>
        <w:widowControl w:val="0"/>
        <w:numPr>
          <w:ilvl w:val="1"/>
          <w:numId w:val="8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mieć możliwość pozyskania adresu z serwera DHCP.</w:t>
      </w:r>
    </w:p>
    <w:p w14:paraId="5D670611" w14:textId="77777777" w:rsidR="00386AC4" w:rsidRPr="001F6B22" w:rsidRDefault="00386AC4" w:rsidP="00232859">
      <w:pPr>
        <w:pStyle w:val="Akapitzlist"/>
        <w:widowControl w:val="0"/>
        <w:numPr>
          <w:ilvl w:val="1"/>
          <w:numId w:val="9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4609C42" w14:textId="77777777" w:rsidR="00386AC4" w:rsidRPr="001F6B22" w:rsidRDefault="00386AC4" w:rsidP="00232859">
      <w:pPr>
        <w:pStyle w:val="Akapitzlist"/>
        <w:widowControl w:val="0"/>
        <w:numPr>
          <w:ilvl w:val="1"/>
          <w:numId w:val="9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[Do decyzji OSD E – wymaganie współpracy koncentratora ze wskazanym przez OSD E protokołem komunikacji z Systemem Centralnym]</w:t>
      </w:r>
    </w:p>
    <w:p w14:paraId="195760E7" w14:textId="4F3355EB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W przypadku </w:t>
      </w:r>
      <w:r w:rsidRPr="001F6B22">
        <w:rPr>
          <w:rFonts w:asciiTheme="majorHAnsi" w:eastAsia="MS Gothic" w:hAnsiTheme="majorHAnsi"/>
          <w:bCs/>
        </w:rPr>
        <w:t>zastosowania komunikacji zastępczej konieczne jest zachowanie wszystkich wymagań technic</w:t>
      </w:r>
      <w:r w:rsidRPr="001F6B22">
        <w:rPr>
          <w:rFonts w:asciiTheme="majorHAnsi" w:eastAsia="MS Gothic" w:hAnsiTheme="majorHAnsi"/>
          <w:bCs/>
        </w:rPr>
        <w:t>z</w:t>
      </w:r>
      <w:r w:rsidRPr="001F6B22">
        <w:rPr>
          <w:rFonts w:asciiTheme="majorHAnsi" w:eastAsia="MS Gothic" w:hAnsiTheme="majorHAnsi"/>
          <w:bCs/>
        </w:rPr>
        <w:t>nych I funkcjonalnych koncentratora przewidzianych w niniejszym dokumencie, z wyłączeniem</w:t>
      </w:r>
      <w:r w:rsidR="006B1801">
        <w:rPr>
          <w:rFonts w:asciiTheme="majorHAnsi" w:eastAsia="MS Gothic" w:hAnsiTheme="majorHAnsi"/>
          <w:bCs/>
        </w:rPr>
        <w:t xml:space="preserve"> </w:t>
      </w:r>
      <w:r w:rsidRPr="001F6B22">
        <w:rPr>
          <w:rFonts w:asciiTheme="majorHAnsi" w:eastAsia="MS Gothic" w:hAnsiTheme="majorHAnsi"/>
          <w:bCs/>
        </w:rPr>
        <w:t>wymagań sp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cyficznych dla PLC</w:t>
      </w:r>
    </w:p>
    <w:p w14:paraId="482D37FD" w14:textId="77777777" w:rsidR="00386AC4" w:rsidRPr="001F6B22" w:rsidRDefault="00386AC4" w:rsidP="00232859">
      <w:pPr>
        <w:widowControl w:val="0"/>
        <w:spacing w:before="60" w:after="60" w:line="260" w:lineRule="exact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/>
          <w:bCs/>
        </w:rPr>
        <w:t>Komunikacja zewnętrzna.</w:t>
      </w:r>
    </w:p>
    <w:p w14:paraId="09C9B5FC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być wyposażony w moduł komunikacji z siecią rozległą w technologii PLC pracującej zgodnie z CENELEC - w paśmie A, o następujących cechach:</w:t>
      </w:r>
    </w:p>
    <w:p w14:paraId="1A574C8E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musi</w:t>
      </w:r>
      <w:proofErr w:type="gramEnd"/>
      <w:r w:rsidRPr="001F6B22">
        <w:rPr>
          <w:rFonts w:asciiTheme="majorHAnsi" w:hAnsiTheme="majorHAnsi"/>
        </w:rPr>
        <w:t xml:space="preserve"> stanowić integralną część koncentratora,</w:t>
      </w:r>
    </w:p>
    <w:p w14:paraId="2220AC6B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musi</w:t>
      </w:r>
      <w:proofErr w:type="gramEnd"/>
      <w:r w:rsidRPr="001F6B22">
        <w:rPr>
          <w:rFonts w:asciiTheme="majorHAnsi" w:hAnsiTheme="majorHAnsi"/>
        </w:rPr>
        <w:t xml:space="preserve"> znajdować się w obrysie koncentratora,</w:t>
      </w:r>
    </w:p>
    <w:p w14:paraId="5A834DA0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musi</w:t>
      </w:r>
      <w:proofErr w:type="gramEnd"/>
      <w:r w:rsidRPr="001F6B22">
        <w:rPr>
          <w:rFonts w:asciiTheme="majorHAnsi" w:hAnsiTheme="majorHAnsi"/>
        </w:rPr>
        <w:t xml:space="preserve"> realizować dwukierunkową komunikację pomiędzy koncentratorem a licznikiem z wykorzyst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niem sieci elektroenergetycznej niskiego napięcia,</w:t>
      </w:r>
    </w:p>
    <w:p w14:paraId="7A45DB46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musi</w:t>
      </w:r>
      <w:proofErr w:type="gramEnd"/>
      <w:r w:rsidRPr="001F6B22">
        <w:rPr>
          <w:rFonts w:asciiTheme="majorHAnsi" w:hAnsiTheme="majorHAnsi"/>
        </w:rPr>
        <w:t xml:space="preserve"> wspierać automatyczne wykrywanie i identyfikację liczników w obszarze działania koncentratora, </w:t>
      </w:r>
    </w:p>
    <w:p w14:paraId="64F9F8B3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musi</w:t>
      </w:r>
      <w:proofErr w:type="gramEnd"/>
      <w:r w:rsidRPr="001F6B22">
        <w:rPr>
          <w:rFonts w:asciiTheme="majorHAnsi" w:hAnsiTheme="majorHAnsi"/>
        </w:rPr>
        <w:t xml:space="preserve"> wspierać dynamiczne tworzenie sieci połączeń transmisyjnych z uwzględnieniem zmian w konf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guracji sieci elektroenergetycznej.</w:t>
      </w:r>
    </w:p>
    <w:p w14:paraId="64C6D6FF" w14:textId="77777777" w:rsidR="00386AC4" w:rsidRPr="001F6B22" w:rsidRDefault="00386AC4" w:rsidP="00232859">
      <w:pPr>
        <w:pStyle w:val="Akapitzlist"/>
        <w:widowControl w:val="0"/>
        <w:numPr>
          <w:ilvl w:val="2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[do decyzji OSD E – wymaganie aktualizacji (</w:t>
      </w:r>
      <w:proofErr w:type="spellStart"/>
      <w:r w:rsidRPr="001F6B22">
        <w:rPr>
          <w:rFonts w:asciiTheme="majorHAnsi" w:hAnsiTheme="majorHAnsi"/>
        </w:rPr>
        <w:t>upgrade</w:t>
      </w:r>
      <w:proofErr w:type="spellEnd"/>
      <w:r w:rsidRPr="001F6B22">
        <w:rPr>
          <w:rFonts w:asciiTheme="majorHAnsi" w:hAnsiTheme="majorHAnsi"/>
        </w:rPr>
        <w:t>) wszystkich warstw komunikacji PLC na inne we</w:t>
      </w:r>
      <w:r w:rsidRPr="001F6B22">
        <w:rPr>
          <w:rFonts w:asciiTheme="majorHAnsi" w:hAnsiTheme="majorHAnsi"/>
        </w:rPr>
        <w:t>r</w:t>
      </w:r>
      <w:r w:rsidRPr="001F6B22">
        <w:rPr>
          <w:rFonts w:asciiTheme="majorHAnsi" w:hAnsiTheme="majorHAnsi"/>
        </w:rPr>
        <w:t>sje i rodzaje komunikacji zgodne z CENELEC A].</w:t>
      </w:r>
    </w:p>
    <w:p w14:paraId="3B32EB06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ind w:left="714" w:hanging="574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</w:rPr>
        <w:t>Elementy koncentratora odpowiadające za komunikację PLC muszą wykorzystywać w warstwie fizycznej modulację OFDM wielomodową.</w:t>
      </w:r>
    </w:p>
    <w:p w14:paraId="2B6F1EB8" w14:textId="77777777" w:rsidR="00386AC4" w:rsidRPr="001F6B22" w:rsidRDefault="00386AC4" w:rsidP="00232859">
      <w:pPr>
        <w:widowControl w:val="0"/>
        <w:spacing w:before="60" w:after="60" w:line="260" w:lineRule="exact"/>
        <w:ind w:left="680"/>
        <w:outlineLvl w:val="0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Implementacja modulacji OFDM wielomodowej musi być oparta na standardzie komunikacyjnym spełniaj</w:t>
      </w:r>
      <w:r w:rsidRPr="001F6B22">
        <w:rPr>
          <w:rFonts w:asciiTheme="majorHAnsi" w:eastAsia="MS Gothic" w:hAnsiTheme="majorHAnsi"/>
          <w:bCs/>
        </w:rPr>
        <w:t>ą</w:t>
      </w:r>
      <w:r w:rsidRPr="001F6B22">
        <w:rPr>
          <w:rFonts w:asciiTheme="majorHAnsi" w:eastAsia="MS Gothic" w:hAnsiTheme="majorHAnsi"/>
          <w:bCs/>
        </w:rPr>
        <w:t>cym następujące cechy w chwili upływu terminu oceny ofert:</w:t>
      </w:r>
    </w:p>
    <w:p w14:paraId="60FA5501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standard</w:t>
      </w:r>
      <w:proofErr w:type="gramEnd"/>
      <w:r w:rsidRPr="001F6B22">
        <w:rPr>
          <w:rFonts w:asciiTheme="majorHAnsi" w:eastAsia="MS Gothic" w:hAnsiTheme="majorHAnsi"/>
          <w:bCs/>
        </w:rPr>
        <w:t xml:space="preserve"> musi być opisany w normie, rekomendacji lub innym równoważnym dokumencie opisanym przez organizację normalizacyjną lub organizację międzynarodową (np. ISO, CEN, PKN, IEC, ITU, IEEE),</w:t>
      </w:r>
    </w:p>
    <w:p w14:paraId="7E9BF13C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liczniki funkcjonujące zgodnie ze standardem muszą być </w:t>
      </w:r>
      <w:proofErr w:type="gramStart"/>
      <w:r w:rsidRPr="001F6B22">
        <w:rPr>
          <w:rFonts w:asciiTheme="majorHAnsi" w:eastAsia="MS Gothic" w:hAnsiTheme="majorHAnsi"/>
          <w:bCs/>
        </w:rPr>
        <w:t>oferowane przez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3 (trzech) prod</w:t>
      </w:r>
      <w:r w:rsidRPr="001F6B22">
        <w:rPr>
          <w:rFonts w:asciiTheme="majorHAnsi" w:eastAsia="MS Gothic" w:hAnsiTheme="majorHAnsi"/>
          <w:bCs/>
        </w:rPr>
        <w:t>u</w:t>
      </w:r>
      <w:r w:rsidRPr="001F6B22">
        <w:rPr>
          <w:rFonts w:asciiTheme="majorHAnsi" w:eastAsia="MS Gothic" w:hAnsiTheme="majorHAnsi"/>
          <w:bCs/>
        </w:rPr>
        <w:t>centów, którzy nie są powiązani kapitałowo,</w:t>
      </w:r>
    </w:p>
    <w:p w14:paraId="3F827DE3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elementy licznika odpowiadające za komunikację PLC, zgodne ze standardem, muszą być </w:t>
      </w:r>
      <w:proofErr w:type="gramStart"/>
      <w:r w:rsidRPr="001F6B22">
        <w:rPr>
          <w:rFonts w:asciiTheme="majorHAnsi" w:eastAsia="MS Gothic" w:hAnsiTheme="majorHAnsi"/>
          <w:bCs/>
        </w:rPr>
        <w:t>oferowane przez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3 (trzech) producentów, którzy nie są powiązani kapitałowo,</w:t>
      </w:r>
    </w:p>
    <w:p w14:paraId="0C24474F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 xml:space="preserve">koncentratory funkcjonujące zgodnie ze standardem muszą być </w:t>
      </w:r>
      <w:proofErr w:type="gramStart"/>
      <w:r w:rsidRPr="001F6B22">
        <w:rPr>
          <w:rFonts w:asciiTheme="majorHAnsi" w:eastAsia="MS Gothic" w:hAnsiTheme="majorHAnsi"/>
          <w:bCs/>
        </w:rPr>
        <w:t>oferowane przez co</w:t>
      </w:r>
      <w:proofErr w:type="gramEnd"/>
      <w:r w:rsidRPr="001F6B22">
        <w:rPr>
          <w:rFonts w:asciiTheme="majorHAnsi" w:eastAsia="MS Gothic" w:hAnsiTheme="majorHAnsi"/>
          <w:bCs/>
        </w:rPr>
        <w:t xml:space="preserve"> najmniej 2 (dwóch) producentów, którzy nie są powiązani kapitałowo,</w:t>
      </w:r>
    </w:p>
    <w:p w14:paraId="66D04D01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standard</w:t>
      </w:r>
      <w:proofErr w:type="gramEnd"/>
      <w:r w:rsidRPr="001F6B22">
        <w:rPr>
          <w:rFonts w:asciiTheme="majorHAnsi" w:eastAsia="MS Gothic" w:hAnsiTheme="majorHAnsi"/>
          <w:bCs/>
        </w:rPr>
        <w:t xml:space="preserve"> musi podlegać dalszemu rozwojowi,</w:t>
      </w:r>
    </w:p>
    <w:p w14:paraId="60271F1D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specyfikacja</w:t>
      </w:r>
      <w:proofErr w:type="gramEnd"/>
      <w:r w:rsidRPr="001F6B22">
        <w:rPr>
          <w:rFonts w:asciiTheme="majorHAnsi" w:eastAsia="MS Gothic" w:hAnsiTheme="majorHAnsi"/>
          <w:bCs/>
        </w:rPr>
        <w:t xml:space="preserve"> standardu dla wszystkich elementów systemu AMI takich jak liczniki, koncentratory lub z</w:t>
      </w:r>
      <w:r w:rsidRPr="001F6B22">
        <w:rPr>
          <w:rFonts w:asciiTheme="majorHAnsi" w:eastAsia="MS Gothic" w:hAnsiTheme="majorHAnsi"/>
          <w:bCs/>
        </w:rPr>
        <w:t>e</w:t>
      </w:r>
      <w:r w:rsidRPr="001F6B22">
        <w:rPr>
          <w:rFonts w:asciiTheme="majorHAnsi" w:eastAsia="MS Gothic" w:hAnsiTheme="majorHAnsi"/>
          <w:bCs/>
        </w:rPr>
        <w:t>stawy koncentratorowo bilansujące musi być dostępna publicznie bez ograniczeń lub udostępniana zai</w:t>
      </w:r>
      <w:r w:rsidRPr="001F6B22">
        <w:rPr>
          <w:rFonts w:asciiTheme="majorHAnsi" w:eastAsia="MS Gothic" w:hAnsiTheme="majorHAnsi"/>
          <w:bCs/>
        </w:rPr>
        <w:t>n</w:t>
      </w:r>
      <w:r w:rsidRPr="001F6B22">
        <w:rPr>
          <w:rFonts w:asciiTheme="majorHAnsi" w:eastAsia="MS Gothic" w:hAnsiTheme="majorHAnsi"/>
          <w:bCs/>
        </w:rPr>
        <w:t xml:space="preserve">teresowanym podmiotom w celu stworzenia własnego rozwiązania implementującego standard, a takie udostępnienie nie może wymagać uiszczenia </w:t>
      </w:r>
      <w:r w:rsidRPr="001F6B22">
        <w:rPr>
          <w:rFonts w:asciiTheme="majorHAnsi" w:hAnsiTheme="majorHAnsi"/>
        </w:rPr>
        <w:t>opłat nieproporcjonalnie wysokich w stosunku do kosztów przekazania egzemplarza i kosztów administracyjnych</w:t>
      </w:r>
      <w:r w:rsidRPr="001F6B22">
        <w:rPr>
          <w:rFonts w:asciiTheme="majorHAnsi" w:eastAsia="MS Gothic" w:hAnsiTheme="majorHAnsi"/>
          <w:bCs/>
        </w:rPr>
        <w:t>,</w:t>
      </w:r>
    </w:p>
    <w:p w14:paraId="57E1901F" w14:textId="77777777" w:rsidR="00386AC4" w:rsidRPr="001F6B22" w:rsidRDefault="00386AC4" w:rsidP="00232859">
      <w:pPr>
        <w:pStyle w:val="Akapitzlist"/>
        <w:widowControl w:val="0"/>
        <w:numPr>
          <w:ilvl w:val="0"/>
          <w:numId w:val="84"/>
        </w:numPr>
        <w:spacing w:before="60" w:after="60" w:line="260" w:lineRule="exact"/>
        <w:jc w:val="both"/>
        <w:outlineLvl w:val="0"/>
        <w:rPr>
          <w:rFonts w:asciiTheme="majorHAnsi" w:eastAsia="MS Gothic" w:hAnsiTheme="majorHAnsi"/>
          <w:bCs/>
        </w:rPr>
      </w:pPr>
      <w:proofErr w:type="gramStart"/>
      <w:r w:rsidRPr="001F6B22">
        <w:rPr>
          <w:rFonts w:asciiTheme="majorHAnsi" w:eastAsia="MS Gothic" w:hAnsiTheme="majorHAnsi"/>
          <w:bCs/>
        </w:rPr>
        <w:t>warunki</w:t>
      </w:r>
      <w:proofErr w:type="gramEnd"/>
      <w:r w:rsidRPr="001F6B22">
        <w:rPr>
          <w:rFonts w:asciiTheme="majorHAnsi" w:eastAsia="MS Gothic" w:hAnsiTheme="majorHAnsi"/>
          <w:bCs/>
        </w:rPr>
        <w:t xml:space="preserve"> korzystania ze standardu oraz udziału w rozwoju jego specyfikacji nie mogą dyskryminować żadnego z zainteresowanych podmiotów.</w:t>
      </w:r>
    </w:p>
    <w:p w14:paraId="0362E762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hAnsiTheme="majorHAnsi"/>
          <w:color w:val="000000" w:themeColor="text1"/>
        </w:rPr>
      </w:pPr>
      <w:r w:rsidRPr="001F6B22">
        <w:rPr>
          <w:rFonts w:asciiTheme="majorHAnsi" w:hAnsiTheme="majorHAnsi"/>
          <w:color w:val="000000" w:themeColor="text1"/>
        </w:rPr>
        <w:t xml:space="preserve">[Do decyzji OSD] Koncentrator musi posiadać implementację serwera protokołu zgodnego z normą PN-EN 62056-5-3 i obsługi klas / obiektów opisanych </w:t>
      </w:r>
      <w:r w:rsidRPr="001F6B22">
        <w:rPr>
          <w:rFonts w:asciiTheme="majorHAnsi" w:hAnsiTheme="majorHAnsi"/>
        </w:rPr>
        <w:t>normą</w:t>
      </w:r>
      <w:r w:rsidRPr="001F6B22">
        <w:rPr>
          <w:rFonts w:asciiTheme="majorHAnsi" w:hAnsiTheme="majorHAnsi"/>
          <w:color w:val="000000" w:themeColor="text1"/>
        </w:rPr>
        <w:t xml:space="preserve"> PN-EN 62056-6-2, w celu obsługi zapytań kierowanych do obiektów własnych koncentratora za pomocą protokołu [do wskazania przez OSD] i licznika bilansującego za pomocą protokołu [do wskazania przez OSD].</w:t>
      </w:r>
    </w:p>
    <w:p w14:paraId="04534038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aktualizację (</w:t>
      </w:r>
      <w:proofErr w:type="spellStart"/>
      <w:r w:rsidRPr="001F6B22">
        <w:rPr>
          <w:rFonts w:asciiTheme="majorHAnsi" w:hAnsiTheme="majorHAnsi"/>
        </w:rPr>
        <w:t>upgrade</w:t>
      </w:r>
      <w:proofErr w:type="spellEnd"/>
      <w:r w:rsidRPr="001F6B22">
        <w:rPr>
          <w:rFonts w:asciiTheme="majorHAnsi" w:hAnsiTheme="majorHAnsi"/>
        </w:rPr>
        <w:t>) do nowszych wersji każdego obsługiwanego protokołu komunikacji.</w:t>
      </w:r>
    </w:p>
    <w:p w14:paraId="08D35EDE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[Wymaganie do decyzji OSD E – Koncentrator musi zapewniać obsługę protokołu komunikacji z licznikami w warstwie aplikacyjnej, poprzez wykorzystanie klienta protokołu zgodnego z normami PN-EN 62056-6-2 i PN-EN 62056-5-3, ze wsparciem autentykacji i szyfrowania w trybach zarówno LLS jak i HLS]</w:t>
      </w:r>
    </w:p>
    <w:p w14:paraId="2FEB18CE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eastAsia="MS Gothic" w:hAnsiTheme="majorHAnsi"/>
          <w:bCs/>
        </w:rPr>
        <w:t>Koncentrator musi realizować optymalizację zapytań do liczników), poprzez zapewnienie wielozadaniowości obsługi procesów komunikacji z licznikami.</w:t>
      </w:r>
    </w:p>
    <w:p w14:paraId="69236C7A" w14:textId="77777777" w:rsidR="00386AC4" w:rsidRPr="001F6B22" w:rsidRDefault="00386AC4" w:rsidP="00232859">
      <w:pPr>
        <w:pStyle w:val="Akapitzlist"/>
        <w:widowControl w:val="0"/>
        <w:numPr>
          <w:ilvl w:val="1"/>
          <w:numId w:val="97"/>
        </w:numPr>
        <w:spacing w:before="60" w:after="60" w:line="260" w:lineRule="exact"/>
        <w:jc w:val="both"/>
        <w:rPr>
          <w:rFonts w:asciiTheme="majorHAnsi" w:eastAsia="MS Gothic" w:hAnsiTheme="majorHAnsi"/>
          <w:bCs/>
        </w:rPr>
      </w:pPr>
      <w:r w:rsidRPr="001F6B22">
        <w:rPr>
          <w:rFonts w:asciiTheme="majorHAnsi" w:hAnsiTheme="majorHAnsi"/>
          <w:color w:val="000000" w:themeColor="text1"/>
        </w:rPr>
        <w:t>Koncentrator musi zapewniać wsparcie dla realizacji transmisji typu broadcast (w trybie autentykacji paki</w:t>
      </w:r>
      <w:r w:rsidRPr="001F6B22">
        <w:rPr>
          <w:rFonts w:asciiTheme="majorHAnsi" w:hAnsiTheme="majorHAnsi"/>
          <w:color w:val="000000" w:themeColor="text1"/>
        </w:rPr>
        <w:t>e</w:t>
      </w:r>
      <w:r w:rsidRPr="001F6B22">
        <w:rPr>
          <w:rFonts w:asciiTheme="majorHAnsi" w:hAnsiTheme="majorHAnsi"/>
          <w:color w:val="000000" w:themeColor="text1"/>
        </w:rPr>
        <w:t>tów), w celu przesyłania oprogramowania (</w:t>
      </w:r>
      <w:proofErr w:type="spellStart"/>
      <w:r w:rsidRPr="001F6B22">
        <w:rPr>
          <w:rFonts w:asciiTheme="majorHAnsi" w:hAnsiTheme="majorHAnsi"/>
          <w:color w:val="000000" w:themeColor="text1"/>
        </w:rPr>
        <w:t>firmware</w:t>
      </w:r>
      <w:proofErr w:type="spellEnd"/>
      <w:r w:rsidRPr="001F6B22">
        <w:rPr>
          <w:rFonts w:asciiTheme="majorHAnsi" w:hAnsiTheme="majorHAnsi"/>
          <w:color w:val="000000" w:themeColor="text1"/>
        </w:rPr>
        <w:t>) do liczników oraz obsługi komend sterujących ogranicz</w:t>
      </w:r>
      <w:r w:rsidRPr="001F6B22">
        <w:rPr>
          <w:rFonts w:asciiTheme="majorHAnsi" w:hAnsiTheme="majorHAnsi"/>
          <w:color w:val="000000" w:themeColor="text1"/>
        </w:rPr>
        <w:t>e</w:t>
      </w:r>
      <w:r w:rsidRPr="001F6B22">
        <w:rPr>
          <w:rFonts w:asciiTheme="majorHAnsi" w:hAnsiTheme="majorHAnsi"/>
          <w:color w:val="000000" w:themeColor="text1"/>
        </w:rPr>
        <w:t xml:space="preserve">nia awaryjnego </w:t>
      </w:r>
      <w:proofErr w:type="spellStart"/>
      <w:r w:rsidRPr="001F6B22">
        <w:rPr>
          <w:rFonts w:asciiTheme="majorHAnsi" w:hAnsiTheme="majorHAnsi"/>
          <w:i/>
          <w:color w:val="000000" w:themeColor="text1"/>
        </w:rPr>
        <w:t>emergency</w:t>
      </w:r>
      <w:proofErr w:type="spellEnd"/>
      <w:r w:rsidRPr="001F6B22">
        <w:rPr>
          <w:rFonts w:asciiTheme="majorHAnsi" w:hAnsiTheme="majorHAnsi"/>
          <w:i/>
          <w:color w:val="000000" w:themeColor="text1"/>
        </w:rPr>
        <w:t xml:space="preserve"> </w:t>
      </w:r>
      <w:r w:rsidRPr="001F6B22">
        <w:rPr>
          <w:rFonts w:asciiTheme="majorHAnsi" w:hAnsiTheme="majorHAnsi"/>
          <w:color w:val="000000" w:themeColor="text1"/>
        </w:rPr>
        <w:t>zgodnie z wymaganiami zawartymi w Załączniku nr 3.</w:t>
      </w:r>
    </w:p>
    <w:p w14:paraId="0F0575C4" w14:textId="77777777" w:rsidR="00386AC4" w:rsidRPr="001F6B22" w:rsidRDefault="00386AC4" w:rsidP="00232859">
      <w:pPr>
        <w:pStyle w:val="Akapitzlist"/>
        <w:widowControl w:val="0"/>
        <w:numPr>
          <w:ilvl w:val="1"/>
          <w:numId w:val="9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F8393D4" w14:textId="77777777" w:rsidR="00386AC4" w:rsidRPr="001F6B22" w:rsidRDefault="00386AC4" w:rsidP="00232859">
      <w:pPr>
        <w:pStyle w:val="Akapitzlist"/>
        <w:widowControl w:val="0"/>
        <w:numPr>
          <w:ilvl w:val="1"/>
          <w:numId w:val="9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5CB0BA0" w14:textId="77777777" w:rsidR="00386AC4" w:rsidRPr="001F6B22" w:rsidRDefault="00386AC4" w:rsidP="00232859">
      <w:pPr>
        <w:pStyle w:val="Akapitzlist"/>
        <w:widowControl w:val="0"/>
        <w:numPr>
          <w:ilvl w:val="2"/>
          <w:numId w:val="99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989CA45" w14:textId="77777777" w:rsidR="00386AC4" w:rsidRPr="001F6B22" w:rsidRDefault="00386AC4" w:rsidP="00232859">
      <w:pPr>
        <w:pStyle w:val="Akapitzlist"/>
        <w:widowControl w:val="0"/>
        <w:numPr>
          <w:ilvl w:val="2"/>
          <w:numId w:val="99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621AE67" w14:textId="77777777" w:rsidR="00386AC4" w:rsidRPr="001F6B22" w:rsidRDefault="00386AC4" w:rsidP="00232859">
      <w:pPr>
        <w:pStyle w:val="Akapitzlist"/>
        <w:widowControl w:val="0"/>
        <w:numPr>
          <w:ilvl w:val="1"/>
          <w:numId w:val="9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52C907E" w14:textId="77777777" w:rsidR="00386AC4" w:rsidRPr="001F6B22" w:rsidRDefault="00386AC4" w:rsidP="00232859">
      <w:pPr>
        <w:pStyle w:val="Akapitzlist"/>
        <w:widowControl w:val="0"/>
        <w:numPr>
          <w:ilvl w:val="1"/>
          <w:numId w:val="9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9AFFAE8" w14:textId="77777777" w:rsidR="00386AC4" w:rsidRPr="001F6B22" w:rsidRDefault="00386AC4" w:rsidP="00232859">
      <w:pPr>
        <w:pStyle w:val="Akapitzlist"/>
        <w:widowControl w:val="0"/>
        <w:numPr>
          <w:ilvl w:val="1"/>
          <w:numId w:val="9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F39548C" w14:textId="77777777" w:rsidR="00386AC4" w:rsidRPr="001F6B22" w:rsidRDefault="00386AC4" w:rsidP="00232859">
      <w:pPr>
        <w:pStyle w:val="Akapitzlist"/>
        <w:widowControl w:val="0"/>
        <w:numPr>
          <w:ilvl w:val="1"/>
          <w:numId w:val="9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56D5687" w14:textId="77777777" w:rsidR="00386AC4" w:rsidRPr="001F6B22" w:rsidRDefault="00386AC4" w:rsidP="00232859">
      <w:pPr>
        <w:pStyle w:val="Akapitzlist"/>
        <w:widowControl w:val="0"/>
        <w:numPr>
          <w:ilvl w:val="2"/>
          <w:numId w:val="99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E9D4074" w14:textId="77777777" w:rsidR="00386AC4" w:rsidRPr="001F6B22" w:rsidRDefault="00386AC4" w:rsidP="00232859">
      <w:pPr>
        <w:pStyle w:val="Akapitzlist"/>
        <w:widowControl w:val="0"/>
        <w:numPr>
          <w:ilvl w:val="2"/>
          <w:numId w:val="99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1BE5997" w14:textId="77777777" w:rsidR="00386AC4" w:rsidRPr="001F6B22" w:rsidRDefault="00386AC4" w:rsidP="00232859">
      <w:pPr>
        <w:pStyle w:val="Akapitzlist"/>
        <w:widowControl w:val="0"/>
        <w:numPr>
          <w:ilvl w:val="3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E7FB937" w14:textId="77777777" w:rsidR="00386AC4" w:rsidRPr="001F6B22" w:rsidRDefault="00386AC4" w:rsidP="00232859">
      <w:pPr>
        <w:pStyle w:val="Akapitzlist"/>
        <w:widowControl w:val="0"/>
        <w:numPr>
          <w:ilvl w:val="3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4F15823" w14:textId="77777777" w:rsidR="00386AC4" w:rsidRPr="001F6B22" w:rsidRDefault="00386AC4" w:rsidP="00232859">
      <w:pPr>
        <w:pStyle w:val="Akapitzlist"/>
        <w:widowControl w:val="0"/>
        <w:numPr>
          <w:ilvl w:val="1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9CEF270" w14:textId="77777777" w:rsidR="00386AC4" w:rsidRPr="001F6B22" w:rsidRDefault="00386AC4" w:rsidP="00232859">
      <w:pPr>
        <w:pStyle w:val="Akapitzlist"/>
        <w:widowControl w:val="0"/>
        <w:numPr>
          <w:ilvl w:val="1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3375D3F" w14:textId="77777777" w:rsidR="00386AC4" w:rsidRPr="001F6B22" w:rsidRDefault="00386AC4" w:rsidP="00232859">
      <w:pPr>
        <w:pStyle w:val="Akapitzlist"/>
        <w:widowControl w:val="0"/>
        <w:numPr>
          <w:ilvl w:val="1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E011A51" w14:textId="77777777" w:rsidR="00386AC4" w:rsidRPr="001F6B22" w:rsidRDefault="00386AC4" w:rsidP="00232859">
      <w:pPr>
        <w:pStyle w:val="Akapitzlist"/>
        <w:widowControl w:val="0"/>
        <w:numPr>
          <w:ilvl w:val="2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B5B8CDC" w14:textId="77777777" w:rsidR="00386AC4" w:rsidRPr="001F6B22" w:rsidRDefault="00386AC4" w:rsidP="00232859">
      <w:pPr>
        <w:pStyle w:val="Akapitzlist"/>
        <w:widowControl w:val="0"/>
        <w:numPr>
          <w:ilvl w:val="2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237C24B" w14:textId="77777777" w:rsidR="00386AC4" w:rsidRPr="001F6B22" w:rsidRDefault="00386AC4" w:rsidP="00232859">
      <w:pPr>
        <w:pStyle w:val="Akapitzlist"/>
        <w:widowControl w:val="0"/>
        <w:numPr>
          <w:ilvl w:val="2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0258027" w14:textId="77777777" w:rsidR="00386AC4" w:rsidRPr="001F6B22" w:rsidRDefault="00386AC4" w:rsidP="00232859">
      <w:pPr>
        <w:pStyle w:val="Akapitzlist"/>
        <w:widowControl w:val="0"/>
        <w:numPr>
          <w:ilvl w:val="1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9B227E4" w14:textId="77777777" w:rsidR="00386AC4" w:rsidRPr="001F6B22" w:rsidRDefault="00386AC4" w:rsidP="00232859">
      <w:pPr>
        <w:pStyle w:val="Akapitzlist"/>
        <w:widowControl w:val="0"/>
        <w:numPr>
          <w:ilvl w:val="1"/>
          <w:numId w:val="100"/>
        </w:numPr>
        <w:spacing w:before="60" w:after="60" w:line="260" w:lineRule="exact"/>
        <w:jc w:val="both"/>
        <w:rPr>
          <w:rFonts w:asciiTheme="majorHAnsi" w:eastAsia="MS Gothic" w:hAnsiTheme="majorHAnsi"/>
          <w:bCs/>
          <w:noProof/>
          <w:color w:val="FFFFFF" w:themeColor="background1"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2B139DC" w14:textId="20367B3D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mechanizm pozyskiwania (odczytu) danych z wszystkich liczników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w swoim o</w:t>
      </w:r>
      <w:r w:rsidRPr="001F6B22">
        <w:rPr>
          <w:rFonts w:asciiTheme="majorHAnsi" w:hAnsiTheme="majorHAnsi"/>
        </w:rPr>
        <w:t>b</w:t>
      </w:r>
      <w:r w:rsidRPr="001F6B22">
        <w:rPr>
          <w:rFonts w:asciiTheme="majorHAnsi" w:hAnsiTheme="majorHAnsi"/>
        </w:rPr>
        <w:t xml:space="preserve">szarze działania nie </w:t>
      </w:r>
      <w:proofErr w:type="gramStart"/>
      <w:r w:rsidRPr="001F6B22">
        <w:rPr>
          <w:rFonts w:asciiTheme="majorHAnsi" w:hAnsiTheme="majorHAnsi"/>
        </w:rPr>
        <w:t>rzadziej niż co</w:t>
      </w:r>
      <w:proofErr w:type="gramEnd"/>
      <w:r w:rsidRPr="001F6B22">
        <w:rPr>
          <w:rFonts w:asciiTheme="majorHAnsi" w:hAnsiTheme="majorHAnsi"/>
        </w:rPr>
        <w:t xml:space="preserve"> sześć godzin.</w:t>
      </w:r>
    </w:p>
    <w:p w14:paraId="04057335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na żądanie udostępniać informacje dotyczące topologii sieci komunikacyjnej PLC (pomiędzy licznikami, ewentualnie </w:t>
      </w:r>
      <w:proofErr w:type="spellStart"/>
      <w:r w:rsidRPr="001F6B22">
        <w:rPr>
          <w:rFonts w:asciiTheme="majorHAnsi" w:hAnsiTheme="majorHAnsi"/>
        </w:rPr>
        <w:t>repeaterami</w:t>
      </w:r>
      <w:proofErr w:type="spellEnd"/>
      <w:r w:rsidRPr="001F6B22">
        <w:rPr>
          <w:rFonts w:asciiTheme="majorHAnsi" w:hAnsiTheme="majorHAnsi"/>
        </w:rPr>
        <w:t xml:space="preserve"> i koncentratorem).</w:t>
      </w:r>
    </w:p>
    <w:p w14:paraId="60217A44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wspierać dynamiczne tworzenie sieci połączeń transmisyjnych z licznikami (dynamiczne tworzenie alternatywnych dróg routingu).</w:t>
      </w:r>
    </w:p>
    <w:p w14:paraId="7F5C5D83" w14:textId="789F6C5E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automatycznie wykrywać i adresować każdy z liczników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w swoim obszarze działania w normalnych warunkach pracy (</w:t>
      </w:r>
      <w:proofErr w:type="gramStart"/>
      <w:r w:rsidRPr="001F6B22">
        <w:rPr>
          <w:rFonts w:asciiTheme="majorHAnsi" w:hAnsiTheme="majorHAnsi"/>
        </w:rPr>
        <w:t>rozumianych jako</w:t>
      </w:r>
      <w:proofErr w:type="gramEnd"/>
      <w:r w:rsidRPr="001F6B22">
        <w:rPr>
          <w:rFonts w:asciiTheme="majorHAnsi" w:hAnsiTheme="majorHAnsi"/>
        </w:rPr>
        <w:t xml:space="preserve"> praca w sieci pozbawionej zakłóceń pochodzących od urz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dzeń niespełniających wymagań kompatybilności elektromagnetycznej, przy nominalnej liczbie liczników 200 sztuk), w czasie poniżej:</w:t>
      </w:r>
    </w:p>
    <w:p w14:paraId="157C707D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12 (dwanaście) godzin od zaistnienia fizycznej możliwości nawiązania połączenia z licznikiem zainst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lowanym po raz pierwszy w obrębie danego koncentratora,</w:t>
      </w:r>
    </w:p>
    <w:p w14:paraId="61F435AA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3 (trzy) godziny od momentu rekonfiguracji sieci elektroenergetycznej.</w:t>
      </w:r>
    </w:p>
    <w:p w14:paraId="70BB94D2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Rekonfiguracja sieci komunikacyjnej (zmiana logiczna struktury sieci komunikacyjnej w celu optymalizowania jej pracy) – z wyłączeniem rekonfiguracji sieci elektroenergetycznej – nie może negatywnie wpływać na transmisję danych w relacji liczniki-koncentrator, w obydwu kierunkach.</w:t>
      </w:r>
    </w:p>
    <w:p w14:paraId="674922DD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możliwość kontrolowania i ograniczania przełączania się liczników pomiędzy ko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centratorami.</w:t>
      </w:r>
    </w:p>
    <w:p w14:paraId="7BCB6BBF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mieć możliwość przypisania do niego liczników wskazanych przez Zamawiającego. Konce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trator musi pozwalać na:</w:t>
      </w:r>
    </w:p>
    <w:p w14:paraId="45F17B11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kasowanie</w:t>
      </w:r>
      <w:proofErr w:type="gramEnd"/>
      <w:r w:rsidRPr="001F6B22">
        <w:rPr>
          <w:rFonts w:asciiTheme="majorHAnsi" w:hAnsiTheme="majorHAnsi"/>
        </w:rPr>
        <w:t xml:space="preserve"> i odbudowę topologii połączeń pomiędzy licznikami na żądanie,</w:t>
      </w:r>
    </w:p>
    <w:p w14:paraId="5C0B1E9B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przechowywanie</w:t>
      </w:r>
      <w:proofErr w:type="gramEnd"/>
      <w:r w:rsidRPr="001F6B22">
        <w:rPr>
          <w:rFonts w:asciiTheme="majorHAnsi" w:hAnsiTheme="majorHAnsi"/>
        </w:rPr>
        <w:t xml:space="preserve"> topologii połączeń pomiędzy licznikami oraz kasowanie i odbudowę topologii poł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czeń pomiędzy licznikami, w przypadku wyłączenia / restartu urządzenia – sposób działania do wyboru przez Zamawiającego poprzez parametryzację koncentratora,</w:t>
      </w:r>
    </w:p>
    <w:p w14:paraId="31A1FB93" w14:textId="729375AB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wspierać automatyczne jego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wykrywanie i identyfikację przez System Centralny oraz musi rozpocząć komunikację bezpośrednio po otrzymaniu zapytania z Systemu Centralnego.</w:t>
      </w:r>
    </w:p>
    <w:p w14:paraId="2E3CF305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komunikować się z licznikami w sposób autonomiczny, niezależnie od istnienia połączenia z Systemem Centralnym.</w:t>
      </w:r>
    </w:p>
    <w:p w14:paraId="7343DEA1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zapewniać dwukierunkową komunikację pomiędzy Systemem Centralnym oraz urządzeni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mi obsługiwanymi przez koncentrator, co najmniej w następującym zakresie:</w:t>
      </w:r>
    </w:p>
    <w:p w14:paraId="0DC0C233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żądanie</w:t>
      </w:r>
      <w:proofErr w:type="gramEnd"/>
      <w:r w:rsidRPr="001F6B22">
        <w:rPr>
          <w:rFonts w:asciiTheme="majorHAnsi" w:hAnsiTheme="majorHAnsi"/>
        </w:rPr>
        <w:t xml:space="preserve"> odczytu danych i zdarzeń z liczników,</w:t>
      </w:r>
    </w:p>
    <w:p w14:paraId="36E6CDCF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żądanie</w:t>
      </w:r>
      <w:proofErr w:type="gramEnd"/>
      <w:r w:rsidRPr="001F6B22">
        <w:rPr>
          <w:rFonts w:asciiTheme="majorHAnsi" w:hAnsiTheme="majorHAnsi"/>
        </w:rPr>
        <w:t xml:space="preserve"> odczytu statusu komunikacji licznika i statusu łącza do licznika,</w:t>
      </w:r>
    </w:p>
    <w:p w14:paraId="4F724947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zmiana</w:t>
      </w:r>
      <w:proofErr w:type="gramEnd"/>
      <w:r w:rsidRPr="001F6B22">
        <w:rPr>
          <w:rFonts w:asciiTheme="majorHAnsi" w:hAnsiTheme="majorHAnsi"/>
        </w:rPr>
        <w:t xml:space="preserve"> konfiguracji liczników,</w:t>
      </w:r>
    </w:p>
    <w:p w14:paraId="6E7202C8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zmiana</w:t>
      </w:r>
      <w:proofErr w:type="gramEnd"/>
      <w:r w:rsidRPr="001F6B22">
        <w:rPr>
          <w:rFonts w:asciiTheme="majorHAnsi" w:hAnsiTheme="majorHAnsi"/>
        </w:rPr>
        <w:t xml:space="preserve"> oprogramowania liczników, w tym ich modułów komunikacyjnych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),</w:t>
      </w:r>
    </w:p>
    <w:p w14:paraId="26E19244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komunikaty</w:t>
      </w:r>
      <w:proofErr w:type="gramEnd"/>
      <w:r w:rsidRPr="001F6B22">
        <w:rPr>
          <w:rFonts w:asciiTheme="majorHAnsi" w:hAnsiTheme="majorHAnsi"/>
        </w:rPr>
        <w:t xml:space="preserve"> związane ze sterowaniem licznikiem, np. załącz / wyłącz, ograniczenia mocy, w tym k</w:t>
      </w:r>
      <w:r w:rsidRPr="001F6B22">
        <w:rPr>
          <w:rFonts w:asciiTheme="majorHAnsi" w:hAnsiTheme="majorHAnsi"/>
        </w:rPr>
        <w:t>o</w:t>
      </w:r>
      <w:r w:rsidRPr="001F6B22">
        <w:rPr>
          <w:rFonts w:asciiTheme="majorHAnsi" w:hAnsiTheme="majorHAnsi"/>
        </w:rPr>
        <w:t>mendy ograniczenia mocy (DSM) oraz komendy sterujące ograniczania awaryjnego (</w:t>
      </w:r>
      <w:proofErr w:type="spellStart"/>
      <w:r w:rsidRPr="001F6B22">
        <w:rPr>
          <w:rFonts w:asciiTheme="majorHAnsi" w:hAnsiTheme="majorHAnsi"/>
        </w:rPr>
        <w:t>emergency</w:t>
      </w:r>
      <w:proofErr w:type="spellEnd"/>
      <w:r w:rsidRPr="001F6B22">
        <w:rPr>
          <w:rFonts w:asciiTheme="majorHAnsi" w:hAnsiTheme="majorHAnsi"/>
        </w:rPr>
        <w:t xml:space="preserve">), </w:t>
      </w:r>
    </w:p>
    <w:p w14:paraId="36B50BDA" w14:textId="77777777" w:rsidR="00386AC4" w:rsidRPr="001F6B22" w:rsidRDefault="00386AC4" w:rsidP="00232859">
      <w:pPr>
        <w:pStyle w:val="Akapitzlist"/>
        <w:widowControl w:val="0"/>
        <w:numPr>
          <w:ilvl w:val="2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komunikaty</w:t>
      </w:r>
      <w:proofErr w:type="gramEnd"/>
      <w:r w:rsidRPr="001F6B22">
        <w:rPr>
          <w:rFonts w:asciiTheme="majorHAnsi" w:hAnsiTheme="majorHAnsi"/>
        </w:rPr>
        <w:t xml:space="preserve"> wysyłane do i z sieci ISD (komunikacja z modułem ISD).</w:t>
      </w:r>
    </w:p>
    <w:p w14:paraId="5A94792B" w14:textId="77777777" w:rsidR="00386AC4" w:rsidRPr="001F6B22" w:rsidRDefault="00386AC4" w:rsidP="00232859">
      <w:pPr>
        <w:widowControl w:val="0"/>
        <w:spacing w:before="60" w:after="60" w:line="260" w:lineRule="exact"/>
        <w:rPr>
          <w:rFonts w:asciiTheme="majorHAnsi" w:hAnsiTheme="majorHAnsi"/>
          <w:b/>
        </w:rPr>
      </w:pPr>
      <w:r w:rsidRPr="001F6B22">
        <w:rPr>
          <w:rFonts w:asciiTheme="majorHAnsi" w:eastAsia="MS Gothic" w:hAnsiTheme="majorHAnsi"/>
          <w:b/>
          <w:bCs/>
        </w:rPr>
        <w:t>Komunikacja lokalna</w:t>
      </w:r>
    </w:p>
    <w:p w14:paraId="0CF951B2" w14:textId="77777777" w:rsidR="00386AC4" w:rsidRPr="001F6B22" w:rsidRDefault="00386AC4" w:rsidP="00232859">
      <w:pPr>
        <w:pStyle w:val="Akapitzlist"/>
        <w:widowControl w:val="0"/>
        <w:numPr>
          <w:ilvl w:val="1"/>
          <w:numId w:val="9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posiadać niezależny port do komunikacji lokalnej, służący do odczytu danych, konfiguracji i diagnostyki w postaci portu USB lub RJ455 lub </w:t>
      </w:r>
      <w:proofErr w:type="spellStart"/>
      <w:r w:rsidRPr="001F6B22">
        <w:rPr>
          <w:rFonts w:asciiTheme="majorHAnsi" w:hAnsiTheme="majorHAnsi"/>
        </w:rPr>
        <w:t>optozłącze</w:t>
      </w:r>
      <w:proofErr w:type="spellEnd"/>
      <w:r w:rsidRPr="001F6B22">
        <w:rPr>
          <w:rFonts w:asciiTheme="majorHAnsi" w:hAnsiTheme="majorHAnsi"/>
        </w:rPr>
        <w:t xml:space="preserve"> zgodnie z norma PN-EN 62056-21. </w:t>
      </w:r>
    </w:p>
    <w:p w14:paraId="53BFE2CB" w14:textId="77777777" w:rsidR="00386AC4" w:rsidRPr="001F6B22" w:rsidRDefault="00386AC4" w:rsidP="00232859">
      <w:pPr>
        <w:pStyle w:val="Akapitzlist"/>
        <w:widowControl w:val="0"/>
        <w:numPr>
          <w:ilvl w:val="2"/>
          <w:numId w:val="10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36C6A61" w14:textId="77777777" w:rsidR="00386AC4" w:rsidRPr="001F6B22" w:rsidRDefault="00386AC4" w:rsidP="00232859">
      <w:pPr>
        <w:pStyle w:val="Akapitzlist"/>
        <w:widowControl w:val="0"/>
        <w:numPr>
          <w:ilvl w:val="2"/>
          <w:numId w:val="10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139BC8A" w14:textId="77777777" w:rsidR="00386AC4" w:rsidRPr="001F6B22" w:rsidRDefault="00386AC4" w:rsidP="00232859">
      <w:pPr>
        <w:pStyle w:val="Akapitzlist"/>
        <w:widowControl w:val="0"/>
        <w:numPr>
          <w:ilvl w:val="1"/>
          <w:numId w:val="10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F02E7E7" w14:textId="77777777" w:rsidR="00386AC4" w:rsidRPr="001F6B22" w:rsidRDefault="00386AC4" w:rsidP="00232859">
      <w:pPr>
        <w:pStyle w:val="Akapitzlist"/>
        <w:widowControl w:val="0"/>
        <w:numPr>
          <w:ilvl w:val="1"/>
          <w:numId w:val="10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D8766CE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sygnalizować wizualnie status komunikacji z Systemem Centralnym z </w:t>
      </w:r>
      <w:proofErr w:type="gramStart"/>
      <w:r w:rsidRPr="001F6B22">
        <w:rPr>
          <w:rFonts w:asciiTheme="majorHAnsi" w:hAnsiTheme="majorHAnsi"/>
        </w:rPr>
        <w:t>rozróżnieniem co</w:t>
      </w:r>
      <w:proofErr w:type="gramEnd"/>
      <w:r w:rsidRPr="001F6B22">
        <w:rPr>
          <w:rFonts w:asciiTheme="majorHAnsi" w:hAnsiTheme="majorHAnsi"/>
        </w:rPr>
        <w:t xml:space="preserve"> na</w:t>
      </w:r>
      <w:r w:rsidRPr="001F6B22">
        <w:rPr>
          <w:rFonts w:asciiTheme="majorHAnsi" w:hAnsiTheme="majorHAnsi"/>
        </w:rPr>
        <w:t>j</w:t>
      </w:r>
      <w:r w:rsidRPr="001F6B22">
        <w:rPr>
          <w:rFonts w:asciiTheme="majorHAnsi" w:hAnsiTheme="majorHAnsi"/>
        </w:rPr>
        <w:t xml:space="preserve">mniej transmisji danych oraz jej braku. Wymaganie może być realizowane z wykorzystaniem wskaźnika stanu, o którym mowa w pkt </w:t>
      </w:r>
      <w:r w:rsidRPr="001F6B22">
        <w:rPr>
          <w:rFonts w:asciiTheme="majorHAnsi" w:hAnsiTheme="majorHAnsi"/>
        </w:rPr>
        <w:fldChar w:fldCharType="begin"/>
      </w:r>
      <w:r w:rsidRPr="001F6B22">
        <w:rPr>
          <w:rFonts w:asciiTheme="majorHAnsi" w:hAnsiTheme="majorHAnsi"/>
        </w:rPr>
        <w:instrText xml:space="preserve"> REF _Ref279855285 \r \h  \* MERGEFORMAT </w:instrText>
      </w:r>
      <w:r w:rsidRPr="001F6B22">
        <w:rPr>
          <w:rFonts w:asciiTheme="majorHAnsi" w:hAnsiTheme="majorHAnsi"/>
        </w:rPr>
      </w:r>
      <w:r w:rsidRPr="001F6B22">
        <w:rPr>
          <w:rFonts w:asciiTheme="majorHAnsi" w:hAnsiTheme="majorHAnsi"/>
        </w:rPr>
        <w:fldChar w:fldCharType="separate"/>
      </w:r>
      <w:r w:rsidRPr="001F6B22">
        <w:rPr>
          <w:rFonts w:asciiTheme="majorHAnsi" w:hAnsiTheme="majorHAnsi"/>
        </w:rPr>
        <w:t>7.10</w:t>
      </w:r>
      <w:r w:rsidRPr="001F6B22">
        <w:rPr>
          <w:rFonts w:asciiTheme="majorHAnsi" w:hAnsiTheme="majorHAnsi"/>
        </w:rPr>
        <w:fldChar w:fldCharType="end"/>
      </w:r>
    </w:p>
    <w:p w14:paraId="0E7FB72B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rozpocząć przekazywanie: </w:t>
      </w:r>
    </w:p>
    <w:p w14:paraId="54A2A74A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zdefiniowanych</w:t>
      </w:r>
      <w:proofErr w:type="gramEnd"/>
      <w:r w:rsidRPr="001F6B22">
        <w:rPr>
          <w:rFonts w:asciiTheme="majorHAnsi" w:hAnsiTheme="majorHAnsi"/>
        </w:rPr>
        <w:t xml:space="preserve"> w liczniku zdarzeń przesyłanych z liczników w trybie automatycznym, </w:t>
      </w:r>
    </w:p>
    <w:p w14:paraId="7EF8A456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odpowiedzi</w:t>
      </w:r>
      <w:proofErr w:type="gramEnd"/>
      <w:r w:rsidRPr="001F6B22">
        <w:rPr>
          <w:rFonts w:asciiTheme="majorHAnsi" w:hAnsiTheme="majorHAnsi"/>
        </w:rPr>
        <w:t xml:space="preserve"> liczników w trybie odczytu na żądanie,</w:t>
      </w:r>
    </w:p>
    <w:p w14:paraId="23C56B02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zdarzeń</w:t>
      </w:r>
      <w:proofErr w:type="gramEnd"/>
      <w:r w:rsidRPr="001F6B22">
        <w:rPr>
          <w:rFonts w:asciiTheme="majorHAnsi" w:hAnsiTheme="majorHAnsi"/>
        </w:rPr>
        <w:t xml:space="preserve"> w koncentratorze przekazywanych w trybie automatycznego wysyłania, </w:t>
      </w:r>
    </w:p>
    <w:p w14:paraId="67A6F7A0" w14:textId="6CB110D6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poleceń</w:t>
      </w:r>
      <w:proofErr w:type="gramEnd"/>
      <w:r w:rsidRPr="001F6B22">
        <w:rPr>
          <w:rFonts w:asciiTheme="majorHAnsi" w:hAnsiTheme="majorHAnsi"/>
        </w:rPr>
        <w:t xml:space="preserve"> wysyłanych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przez System Centralny do liczników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 xml:space="preserve">w trybie automatycznym, </w:t>
      </w:r>
    </w:p>
    <w:p w14:paraId="0B76B568" w14:textId="77777777" w:rsidR="00386AC4" w:rsidRPr="001F6B22" w:rsidRDefault="00386AC4" w:rsidP="00232859">
      <w:pPr>
        <w:widowControl w:val="0"/>
        <w:spacing w:before="60" w:after="60" w:line="260" w:lineRule="exact"/>
        <w:rPr>
          <w:rFonts w:asciiTheme="majorHAnsi" w:hAnsiTheme="majorHAnsi"/>
        </w:rPr>
      </w:pPr>
      <w:r w:rsidRPr="001F6B22">
        <w:rPr>
          <w:rFonts w:asciiTheme="majorHAnsi" w:hAnsiTheme="majorHAnsi"/>
        </w:rPr>
        <w:t>- w okresie nie dłuższym niż 1 minuta od otrzymania danego sygnału.</w:t>
      </w:r>
    </w:p>
    <w:p w14:paraId="641A090E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udostępniać do Systemu Centralnego oraz lokalnie </w:t>
      </w:r>
      <w:proofErr w:type="gramStart"/>
      <w:r w:rsidRPr="001F6B22">
        <w:rPr>
          <w:rFonts w:asciiTheme="majorHAnsi" w:hAnsiTheme="majorHAnsi"/>
        </w:rPr>
        <w:t>statystyki jakości</w:t>
      </w:r>
      <w:proofErr w:type="gramEnd"/>
      <w:r w:rsidRPr="001F6B22">
        <w:rPr>
          <w:rFonts w:asciiTheme="majorHAnsi" w:hAnsiTheme="majorHAnsi"/>
        </w:rPr>
        <w:t xml:space="preserve"> komunikacji poszcz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gólnych liczników z koncentratorem.</w:t>
      </w:r>
    </w:p>
    <w:p w14:paraId="55DA59B7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pozyskiwać i przekazywać do Systemu Centralnego informacje o zdarzeniach pozyskiwane z liczników, w zakresie zgodnym z wymaganiami dla liczników opisanymi w niniejszej specyfikacji.</w:t>
      </w:r>
    </w:p>
    <w:p w14:paraId="34B0B672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pozyskiwać i przekazywać do Systemu Centralnego potwierdzenia z operacji wykonanych przez licznik, jeżeli takie potwierdzenie jest wymagane przez System Centralny.</w:t>
      </w:r>
    </w:p>
    <w:p w14:paraId="7A53FBA4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zapewnić uwierzytelnioną i szyfrowaną </w:t>
      </w:r>
      <w:proofErr w:type="gramStart"/>
      <w:r w:rsidRPr="001F6B22">
        <w:rPr>
          <w:rFonts w:asciiTheme="majorHAnsi" w:hAnsiTheme="majorHAnsi"/>
        </w:rPr>
        <w:t>komunikację z co</w:t>
      </w:r>
      <w:proofErr w:type="gramEnd"/>
      <w:r w:rsidRPr="001F6B22">
        <w:rPr>
          <w:rFonts w:asciiTheme="majorHAnsi" w:hAnsiTheme="majorHAnsi"/>
        </w:rPr>
        <w:t xml:space="preserve"> najmniej 1000 liczników.</w:t>
      </w:r>
    </w:p>
    <w:p w14:paraId="02E9C6AE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zapewniać obsługę każdego licznika z obszaru swojego działania, z poziomu Systemu Ce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tralnego: indywidualnie i masowo.</w:t>
      </w:r>
    </w:p>
    <w:p w14:paraId="5D77BDAD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</w:t>
      </w:r>
      <w:proofErr w:type="gramStart"/>
      <w:r w:rsidRPr="001F6B22">
        <w:rPr>
          <w:rFonts w:asciiTheme="majorHAnsi" w:hAnsiTheme="majorHAnsi"/>
        </w:rPr>
        <w:t>obsługiwać co</w:t>
      </w:r>
      <w:proofErr w:type="gramEnd"/>
      <w:r w:rsidRPr="001F6B22">
        <w:rPr>
          <w:rFonts w:asciiTheme="majorHAnsi" w:hAnsiTheme="majorHAnsi"/>
        </w:rPr>
        <w:t xml:space="preserve"> najmniej dwa rodzaje komend sterujących ograniczania awaryjnego (</w:t>
      </w:r>
      <w:proofErr w:type="spellStart"/>
      <w:r w:rsidRPr="001F6B22">
        <w:rPr>
          <w:rFonts w:asciiTheme="majorHAnsi" w:hAnsiTheme="majorHAnsi"/>
        </w:rPr>
        <w:t>eme</w:t>
      </w:r>
      <w:r w:rsidRPr="001F6B22">
        <w:rPr>
          <w:rFonts w:asciiTheme="majorHAnsi" w:hAnsiTheme="majorHAnsi"/>
        </w:rPr>
        <w:t>r</w:t>
      </w:r>
      <w:r w:rsidRPr="001F6B22">
        <w:rPr>
          <w:rFonts w:asciiTheme="majorHAnsi" w:hAnsiTheme="majorHAnsi"/>
        </w:rPr>
        <w:t>gency</w:t>
      </w:r>
      <w:proofErr w:type="spellEnd"/>
      <w:r w:rsidRPr="001F6B22">
        <w:rPr>
          <w:rFonts w:asciiTheme="majorHAnsi" w:hAnsiTheme="majorHAnsi"/>
        </w:rPr>
        <w:t>) w trybie broadcast:</w:t>
      </w:r>
    </w:p>
    <w:p w14:paraId="55B48617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testowa</w:t>
      </w:r>
      <w:proofErr w:type="gramEnd"/>
      <w:r w:rsidRPr="001F6B22">
        <w:rPr>
          <w:rFonts w:asciiTheme="majorHAnsi" w:hAnsiTheme="majorHAnsi"/>
        </w:rPr>
        <w:t xml:space="preserve"> komenda sterująca ograniczenia awaryjnego zgodnie z Załącznikiem nr 3,</w:t>
      </w:r>
    </w:p>
    <w:p w14:paraId="098914F3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komenda</w:t>
      </w:r>
      <w:proofErr w:type="gramEnd"/>
      <w:r w:rsidRPr="001F6B22">
        <w:rPr>
          <w:rFonts w:asciiTheme="majorHAnsi" w:hAnsiTheme="majorHAnsi"/>
        </w:rPr>
        <w:t xml:space="preserve"> sterująca ograniczania awaryjnego zgodnie z Załącznikiem nr 3.</w:t>
      </w:r>
    </w:p>
    <w:p w14:paraId="6AF553AA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wysyłanie do liczników komend sterujących ograniczenia awaryjnego (</w:t>
      </w:r>
      <w:proofErr w:type="spellStart"/>
      <w:r w:rsidRPr="001F6B22">
        <w:rPr>
          <w:rFonts w:asciiTheme="majorHAnsi" w:hAnsiTheme="majorHAnsi"/>
        </w:rPr>
        <w:t>emerge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cy</w:t>
      </w:r>
      <w:proofErr w:type="spellEnd"/>
      <w:r w:rsidRPr="001F6B22">
        <w:rPr>
          <w:rFonts w:asciiTheme="majorHAnsi" w:hAnsiTheme="majorHAnsi"/>
        </w:rPr>
        <w:t>) przy zachowaniu następujących uwarunkowań:</w:t>
      </w:r>
    </w:p>
    <w:p w14:paraId="60979319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komenda</w:t>
      </w:r>
      <w:proofErr w:type="gramEnd"/>
      <w:r w:rsidRPr="001F6B22">
        <w:rPr>
          <w:rFonts w:asciiTheme="majorHAnsi" w:hAnsiTheme="majorHAnsi"/>
        </w:rPr>
        <w:t xml:space="preserve"> sterująca ograniczenia awaryjnego (</w:t>
      </w:r>
      <w:proofErr w:type="spellStart"/>
      <w:r w:rsidRPr="001F6B22">
        <w:rPr>
          <w:rFonts w:asciiTheme="majorHAnsi" w:hAnsiTheme="majorHAnsi"/>
        </w:rPr>
        <w:t>emergency</w:t>
      </w:r>
      <w:proofErr w:type="spellEnd"/>
      <w:r w:rsidRPr="001F6B22">
        <w:rPr>
          <w:rFonts w:asciiTheme="majorHAnsi" w:hAnsiTheme="majorHAnsi"/>
        </w:rPr>
        <w:t>) będzie wysyłana do wszystkich liczników o</w:t>
      </w:r>
      <w:r w:rsidRPr="001F6B22">
        <w:rPr>
          <w:rFonts w:asciiTheme="majorHAnsi" w:hAnsiTheme="majorHAnsi"/>
        </w:rPr>
        <w:t>b</w:t>
      </w:r>
      <w:r w:rsidRPr="001F6B22">
        <w:rPr>
          <w:rFonts w:asciiTheme="majorHAnsi" w:hAnsiTheme="majorHAnsi"/>
        </w:rPr>
        <w:t>sługiwanych przez koncentrator przy wykorzystaniu komunikacji typu broadcast, co oznacza, że kom</w:t>
      </w:r>
      <w:r w:rsidRPr="001F6B22">
        <w:rPr>
          <w:rFonts w:asciiTheme="majorHAnsi" w:hAnsiTheme="majorHAnsi"/>
        </w:rPr>
        <w:t>u</w:t>
      </w:r>
      <w:r w:rsidRPr="001F6B22">
        <w:rPr>
          <w:rFonts w:asciiTheme="majorHAnsi" w:hAnsiTheme="majorHAnsi"/>
        </w:rPr>
        <w:t>nikat tej samej treści będzie wysyłany do wszystkich liczników w tym samym czasie,</w:t>
      </w:r>
    </w:p>
    <w:p w14:paraId="31F3071E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koncentrator</w:t>
      </w:r>
      <w:proofErr w:type="gramEnd"/>
      <w:r w:rsidRPr="001F6B22">
        <w:rPr>
          <w:rFonts w:asciiTheme="majorHAnsi" w:hAnsiTheme="majorHAnsi"/>
        </w:rPr>
        <w:t xml:space="preserve"> zapewni funkcjonalność powtarzania wysłania komendy sterującej ograniczania awary</w:t>
      </w:r>
      <w:r w:rsidRPr="001F6B22">
        <w:rPr>
          <w:rFonts w:asciiTheme="majorHAnsi" w:hAnsiTheme="majorHAnsi"/>
        </w:rPr>
        <w:t>j</w:t>
      </w:r>
      <w:r w:rsidRPr="001F6B22">
        <w:rPr>
          <w:rFonts w:asciiTheme="majorHAnsi" w:hAnsiTheme="majorHAnsi"/>
        </w:rPr>
        <w:t>nego (</w:t>
      </w:r>
      <w:proofErr w:type="spellStart"/>
      <w:r w:rsidRPr="001F6B22">
        <w:rPr>
          <w:rFonts w:asciiTheme="majorHAnsi" w:hAnsiTheme="majorHAnsi"/>
        </w:rPr>
        <w:t>emergency</w:t>
      </w:r>
      <w:proofErr w:type="spellEnd"/>
      <w:r w:rsidRPr="001F6B22">
        <w:rPr>
          <w:rFonts w:asciiTheme="majorHAnsi" w:hAnsiTheme="majorHAnsi"/>
        </w:rPr>
        <w:t>) w trybie broadcast, z zaprogramowaną przez Zamawiającego liczbą powtórzeń w z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danych odstępach czasu.</w:t>
      </w:r>
    </w:p>
    <w:p w14:paraId="5364C5FD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bookmarkStart w:id="11" w:name="_Ref391372145"/>
      <w:r w:rsidRPr="001F6B22">
        <w:rPr>
          <w:rFonts w:asciiTheme="majorHAnsi" w:hAnsiTheme="majorHAnsi"/>
        </w:rPr>
        <w:t>Koncentrator musi zapewnić skuteczne przesyłanie komend sterujących ograniczenia awaryjnego (</w:t>
      </w:r>
      <w:proofErr w:type="spellStart"/>
      <w:r w:rsidRPr="001F6B22">
        <w:rPr>
          <w:rFonts w:asciiTheme="majorHAnsi" w:hAnsiTheme="majorHAnsi"/>
        </w:rPr>
        <w:t>emergency</w:t>
      </w:r>
      <w:proofErr w:type="spellEnd"/>
      <w:r w:rsidRPr="001F6B22">
        <w:rPr>
          <w:rFonts w:asciiTheme="majorHAnsi" w:hAnsiTheme="majorHAnsi"/>
        </w:rPr>
        <w:t>) z Systemu Centralnego do wszystkich liczników z obszaru swojego działania. Koncentrator musi zapewnić, że zostaną osiągnięte następujące parametry skuteczności przesłania komend sterujących, stosownie do liczby liczników obsługiwanych przez koncentrator:</w:t>
      </w:r>
      <w:bookmarkEnd w:id="11"/>
      <w:r w:rsidRPr="001F6B22">
        <w:rPr>
          <w:rFonts w:asciiTheme="majorHAnsi" w:hAnsiTheme="majorHAnsi"/>
        </w:rPr>
        <w:t xml:space="preserve"> </w:t>
      </w:r>
    </w:p>
    <w:p w14:paraId="5C0C6EAC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do</w:t>
      </w:r>
      <w:proofErr w:type="gramEnd"/>
      <w:r w:rsidRPr="001F6B22">
        <w:rPr>
          <w:rFonts w:asciiTheme="majorHAnsi" w:hAnsiTheme="majorHAnsi"/>
        </w:rPr>
        <w:t xml:space="preserve"> 200 liczników w obszarze działania koncentratora: 95% w przeciągu 15 minut,</w:t>
      </w:r>
    </w:p>
    <w:p w14:paraId="63FEAEAC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ponad</w:t>
      </w:r>
      <w:proofErr w:type="gramEnd"/>
      <w:r w:rsidRPr="001F6B22">
        <w:rPr>
          <w:rFonts w:asciiTheme="majorHAnsi" w:hAnsiTheme="majorHAnsi"/>
        </w:rPr>
        <w:t xml:space="preserve"> 200 liczników w obszarze działania koncentratora: 85% w przeciągu 15 minut.</w:t>
      </w:r>
    </w:p>
    <w:p w14:paraId="3C7FF5CB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Przy wyznaczaniu skuteczności przesłania komendy uwzględnia się wyłącznie liczniki połączone galwanicznie z koncentratorem. Powyższe parametry muszą być spełnione w normalnych warunkach pracy, </w:t>
      </w:r>
      <w:proofErr w:type="gramStart"/>
      <w:r w:rsidRPr="001F6B22">
        <w:rPr>
          <w:rFonts w:asciiTheme="majorHAnsi" w:hAnsiTheme="majorHAnsi"/>
        </w:rPr>
        <w:t>rozumianych jako</w:t>
      </w:r>
      <w:proofErr w:type="gramEnd"/>
      <w:r w:rsidRPr="001F6B22">
        <w:rPr>
          <w:rFonts w:asciiTheme="majorHAnsi" w:hAnsiTheme="majorHAnsi"/>
        </w:rPr>
        <w:t xml:space="preserve"> praca w sieci pozbawionej zakłóceń pochodzących od urządzeń niespełniających wymagań kompatybilności elektromagnetycznej.</w:t>
      </w:r>
    </w:p>
    <w:p w14:paraId="14054983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obsługiwać komendy sterujące ograniczenia zużycia (DSM) zgodnie z Załącznikiem nr 3.</w:t>
      </w:r>
    </w:p>
    <w:p w14:paraId="29E1D51F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skuteczne przesyłanie komend sterujących ograniczenia zużycia (DSM) z Systemu Centralnego do każdego wskazanego licznika. Koncentrator musi zapewnić, że zostaną osiągnięte następujące parametry skuteczności przesłania komend sterujących ograniczenia zużycia (DSM), stosownie do liczby liczn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 xml:space="preserve">ków obsługiwanych przez koncentrator: </w:t>
      </w:r>
    </w:p>
    <w:p w14:paraId="57B9D862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do</w:t>
      </w:r>
      <w:proofErr w:type="gramEnd"/>
      <w:r w:rsidRPr="001F6B22">
        <w:rPr>
          <w:rFonts w:asciiTheme="majorHAnsi" w:hAnsiTheme="majorHAnsi"/>
        </w:rPr>
        <w:t xml:space="preserve"> 200 liczników w obszarze działania koncentratora: 95% w przeciągu 15 minut,</w:t>
      </w:r>
    </w:p>
    <w:p w14:paraId="0FAF0471" w14:textId="77777777" w:rsidR="00386AC4" w:rsidRPr="001F6B22" w:rsidRDefault="00386AC4" w:rsidP="00232859">
      <w:pPr>
        <w:pStyle w:val="Akapitzlist"/>
        <w:widowControl w:val="0"/>
        <w:numPr>
          <w:ilvl w:val="2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ponad</w:t>
      </w:r>
      <w:proofErr w:type="gramEnd"/>
      <w:r w:rsidRPr="001F6B22">
        <w:rPr>
          <w:rFonts w:asciiTheme="majorHAnsi" w:hAnsiTheme="majorHAnsi"/>
        </w:rPr>
        <w:t xml:space="preserve"> 200 liczników w obszarze działania koncentratora: 85% w przeciągu 15 minut.</w:t>
      </w:r>
    </w:p>
    <w:p w14:paraId="484A188D" w14:textId="77777777" w:rsidR="00386AC4" w:rsidRPr="001F6B22" w:rsidRDefault="00386AC4" w:rsidP="00232859">
      <w:pPr>
        <w:pStyle w:val="Akapitzlist"/>
        <w:widowControl w:val="0"/>
        <w:numPr>
          <w:ilvl w:val="1"/>
          <w:numId w:val="8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Przy wyznaczaniu skuteczności przesłania komendy uwzględnia się wyłącznie liczniki połączone galwanicznie z koncentratorem. Powyższe parametry muszą być spełnione w normalnych warunkach pracy, </w:t>
      </w:r>
      <w:proofErr w:type="gramStart"/>
      <w:r w:rsidRPr="001F6B22">
        <w:rPr>
          <w:rFonts w:asciiTheme="majorHAnsi" w:hAnsiTheme="majorHAnsi"/>
        </w:rPr>
        <w:t>rozumianych jako</w:t>
      </w:r>
      <w:proofErr w:type="gramEnd"/>
      <w:r w:rsidRPr="001F6B22">
        <w:rPr>
          <w:rFonts w:asciiTheme="majorHAnsi" w:hAnsiTheme="majorHAnsi"/>
        </w:rPr>
        <w:t xml:space="preserve"> praca w sieci pozbawionej zakłóceń pochodzących od urządzeń niespełniających wymagań kompatybilności elektromagnetycznej.</w:t>
      </w:r>
    </w:p>
    <w:p w14:paraId="5D9CA739" w14:textId="77777777" w:rsidR="00386AC4" w:rsidRPr="001F6B22" w:rsidRDefault="00386AC4" w:rsidP="00232859">
      <w:pPr>
        <w:pStyle w:val="Akapitzlist"/>
        <w:widowControl w:val="0"/>
        <w:numPr>
          <w:ilvl w:val="0"/>
          <w:numId w:val="85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325F01F" w14:textId="49662792" w:rsidR="00386AC4" w:rsidRPr="001F6B22" w:rsidRDefault="00386AC4" w:rsidP="00232859">
      <w:pPr>
        <w:pStyle w:val="Akapitzlist"/>
        <w:widowControl w:val="0"/>
        <w:spacing w:before="60" w:after="60" w:line="260" w:lineRule="exact"/>
        <w:ind w:left="454"/>
        <w:jc w:val="both"/>
        <w:rPr>
          <w:rFonts w:asciiTheme="majorHAnsi" w:hAnsiTheme="majorHAnsi"/>
        </w:rPr>
      </w:pPr>
    </w:p>
    <w:p w14:paraId="4179C4C1" w14:textId="77777777" w:rsidR="00386AC4" w:rsidRPr="001F6B22" w:rsidRDefault="00386AC4" w:rsidP="00232859">
      <w:pPr>
        <w:pStyle w:val="Akapitzlist"/>
        <w:widowControl w:val="0"/>
        <w:numPr>
          <w:ilvl w:val="0"/>
          <w:numId w:val="85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r w:rsidRPr="001F6B22">
        <w:rPr>
          <w:rFonts w:asciiTheme="majorHAnsi" w:eastAsia="MS Gothic" w:hAnsiTheme="majorHAnsi"/>
          <w:b/>
          <w:bCs/>
        </w:rPr>
        <w:t>Parametry</w:t>
      </w:r>
      <w:r w:rsidRPr="001F6B22">
        <w:rPr>
          <w:rFonts w:asciiTheme="majorHAnsi" w:hAnsiTheme="majorHAnsi"/>
          <w:b/>
        </w:rPr>
        <w:t xml:space="preserve"> techniczne</w:t>
      </w:r>
    </w:p>
    <w:p w14:paraId="777E04BD" w14:textId="77777777" w:rsidR="00386AC4" w:rsidRPr="001F6B22" w:rsidRDefault="00386AC4" w:rsidP="00232859">
      <w:pPr>
        <w:pStyle w:val="Akapitzlist"/>
        <w:widowControl w:val="0"/>
        <w:numPr>
          <w:ilvl w:val="1"/>
          <w:numId w:val="8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może stanowić samodzielne urządzenie lub urządzenie zintegrowane z licznikiem bilansującym. [</w:t>
      </w:r>
      <w:proofErr w:type="gramStart"/>
      <w:r w:rsidRPr="001F6B22">
        <w:rPr>
          <w:rFonts w:asciiTheme="majorHAnsi" w:hAnsiTheme="majorHAnsi"/>
        </w:rPr>
        <w:t>rozwiązanie</w:t>
      </w:r>
      <w:proofErr w:type="gramEnd"/>
      <w:r w:rsidRPr="001F6B22">
        <w:rPr>
          <w:rFonts w:asciiTheme="majorHAnsi" w:hAnsiTheme="majorHAnsi"/>
        </w:rPr>
        <w:t xml:space="preserve"> do wyboru przez OSD E] </w:t>
      </w:r>
    </w:p>
    <w:p w14:paraId="3888C4B1" w14:textId="77777777" w:rsidR="00386AC4" w:rsidRPr="001F6B22" w:rsidRDefault="00386AC4" w:rsidP="00232859">
      <w:pPr>
        <w:pStyle w:val="Akapitzlist"/>
        <w:widowControl w:val="0"/>
        <w:numPr>
          <w:ilvl w:val="1"/>
          <w:numId w:val="10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1EE81DB" w14:textId="77777777" w:rsidR="00386AC4" w:rsidRPr="001F6B22" w:rsidRDefault="00386AC4" w:rsidP="00232859">
      <w:pPr>
        <w:pStyle w:val="Akapitzlist"/>
        <w:widowControl w:val="0"/>
        <w:numPr>
          <w:ilvl w:val="1"/>
          <w:numId w:val="102"/>
        </w:numPr>
        <w:spacing w:before="60" w:after="60" w:line="260" w:lineRule="exact"/>
        <w:jc w:val="both"/>
        <w:rPr>
          <w:rFonts w:asciiTheme="majorHAnsi" w:hAnsiTheme="majorHAnsi"/>
          <w:color w:val="000000" w:themeColor="text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5F89A4E" w14:textId="77777777" w:rsidR="00386AC4" w:rsidRPr="001F6B22" w:rsidRDefault="00386AC4" w:rsidP="00232859">
      <w:pPr>
        <w:pStyle w:val="Akapitzlist"/>
        <w:widowControl w:val="0"/>
        <w:numPr>
          <w:ilvl w:val="1"/>
          <w:numId w:val="10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D4483F9" w14:textId="77777777" w:rsidR="00386AC4" w:rsidRPr="001F6B22" w:rsidRDefault="00386AC4" w:rsidP="00232859">
      <w:pPr>
        <w:pStyle w:val="Akapitzlist"/>
        <w:widowControl w:val="0"/>
        <w:numPr>
          <w:ilvl w:val="1"/>
          <w:numId w:val="10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8878E93" w14:textId="77777777" w:rsidR="00386AC4" w:rsidRPr="001F6B22" w:rsidRDefault="00386AC4" w:rsidP="00232859">
      <w:pPr>
        <w:pStyle w:val="Akapitzlist"/>
        <w:widowControl w:val="0"/>
        <w:numPr>
          <w:ilvl w:val="1"/>
          <w:numId w:val="10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Zakres temperatur pracy koncentratora musi </w:t>
      </w:r>
      <w:proofErr w:type="gramStart"/>
      <w:r w:rsidRPr="001F6B22">
        <w:rPr>
          <w:rFonts w:asciiTheme="majorHAnsi" w:hAnsiTheme="majorHAnsi"/>
        </w:rPr>
        <w:t>wynosić co</w:t>
      </w:r>
      <w:proofErr w:type="gramEnd"/>
      <w:r w:rsidRPr="001F6B22">
        <w:rPr>
          <w:rFonts w:asciiTheme="majorHAnsi" w:hAnsiTheme="majorHAnsi"/>
        </w:rPr>
        <w:t xml:space="preserve"> najmniej: -25°C / +55°C.</w:t>
      </w:r>
    </w:p>
    <w:p w14:paraId="237549D6" w14:textId="77777777" w:rsidR="00386AC4" w:rsidRPr="001F6B22" w:rsidRDefault="00386AC4" w:rsidP="00232859">
      <w:pPr>
        <w:pStyle w:val="Akapitzlist"/>
        <w:widowControl w:val="0"/>
        <w:numPr>
          <w:ilvl w:val="1"/>
          <w:numId w:val="10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nie może zawierać aktywnych elementów chłodzących.</w:t>
      </w:r>
    </w:p>
    <w:p w14:paraId="659E6591" w14:textId="77777777" w:rsidR="00386AC4" w:rsidRPr="001F6B22" w:rsidRDefault="00386AC4" w:rsidP="00232859">
      <w:pPr>
        <w:pStyle w:val="Akapitzlist"/>
        <w:widowControl w:val="0"/>
        <w:numPr>
          <w:ilvl w:val="1"/>
          <w:numId w:val="10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Obudowa koncentratora musi zapewniać stopień </w:t>
      </w:r>
      <w:proofErr w:type="gramStart"/>
      <w:r w:rsidRPr="001F6B22">
        <w:rPr>
          <w:rFonts w:asciiTheme="majorHAnsi" w:hAnsiTheme="majorHAnsi"/>
        </w:rPr>
        <w:t>ochrony co</w:t>
      </w:r>
      <w:proofErr w:type="gramEnd"/>
      <w:r w:rsidRPr="001F6B22">
        <w:rPr>
          <w:rFonts w:asciiTheme="majorHAnsi" w:hAnsiTheme="majorHAnsi"/>
        </w:rPr>
        <w:t xml:space="preserve"> najmniej IP 51.</w:t>
      </w:r>
    </w:p>
    <w:p w14:paraId="08AB48D1" w14:textId="77777777" w:rsidR="00386AC4" w:rsidRPr="001F6B22" w:rsidRDefault="00386AC4" w:rsidP="00232859">
      <w:pPr>
        <w:pStyle w:val="Akapitzlist"/>
        <w:widowControl w:val="0"/>
        <w:numPr>
          <w:ilvl w:val="1"/>
          <w:numId w:val="10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E1524F0" w14:textId="77777777" w:rsidR="00386AC4" w:rsidRPr="001F6B22" w:rsidRDefault="00386AC4" w:rsidP="00232859">
      <w:pPr>
        <w:pStyle w:val="Akapitzlist"/>
        <w:widowControl w:val="0"/>
        <w:numPr>
          <w:ilvl w:val="1"/>
          <w:numId w:val="10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Uśredniony w czasie 15 minut pobór mocy dla znamionowych wartości napięcia, częstotliwości i temperatury nie może przekraczać wartości 10W/ 30 VA (dla wszystkich faz łącznie).</w:t>
      </w:r>
    </w:p>
    <w:p w14:paraId="7C36C8B3" w14:textId="77777777" w:rsidR="00386AC4" w:rsidRPr="001F6B22" w:rsidRDefault="00386AC4" w:rsidP="00232859">
      <w:pPr>
        <w:pStyle w:val="Akapitzlist"/>
        <w:widowControl w:val="0"/>
        <w:numPr>
          <w:ilvl w:val="1"/>
          <w:numId w:val="10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Zaciski przyłączeniowe koncentratora muszą być wspólne dla jego zasilania i komunikacji PLC.</w:t>
      </w:r>
    </w:p>
    <w:p w14:paraId="5CBE8019" w14:textId="77777777" w:rsidR="00386AC4" w:rsidRPr="001F6B22" w:rsidRDefault="00386AC4" w:rsidP="00232859">
      <w:pPr>
        <w:pStyle w:val="Akapitzlist"/>
        <w:widowControl w:val="0"/>
        <w:numPr>
          <w:ilvl w:val="1"/>
          <w:numId w:val="10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posiadać </w:t>
      </w:r>
      <w:proofErr w:type="spellStart"/>
      <w:r w:rsidRPr="001F6B22">
        <w:rPr>
          <w:rFonts w:asciiTheme="majorHAnsi" w:hAnsiTheme="majorHAnsi"/>
        </w:rPr>
        <w:t>szerokozakresowy</w:t>
      </w:r>
      <w:proofErr w:type="spellEnd"/>
      <w:r w:rsidRPr="001F6B22">
        <w:rPr>
          <w:rFonts w:asciiTheme="majorHAnsi" w:hAnsiTheme="majorHAnsi"/>
        </w:rPr>
        <w:t xml:space="preserve"> zasilacz zapewniający pracę urządzenia przy odchyleniach n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pięcia zasilającego od wartości znamionowej w zakresie od 184V do 253V, przy zasilaniu przynajmniej z 1 (je</w:t>
      </w:r>
      <w:r w:rsidRPr="001F6B22">
        <w:rPr>
          <w:rFonts w:asciiTheme="majorHAnsi" w:hAnsiTheme="majorHAnsi"/>
        </w:rPr>
        <w:t>d</w:t>
      </w:r>
      <w:r w:rsidRPr="001F6B22">
        <w:rPr>
          <w:rFonts w:asciiTheme="majorHAnsi" w:hAnsiTheme="majorHAnsi"/>
        </w:rPr>
        <w:t>nej) fazy.</w:t>
      </w:r>
    </w:p>
    <w:p w14:paraId="13452FB4" w14:textId="77777777" w:rsidR="00386AC4" w:rsidRPr="001F6B22" w:rsidRDefault="00386AC4" w:rsidP="00232859">
      <w:pPr>
        <w:pStyle w:val="Akapitzlist"/>
        <w:widowControl w:val="0"/>
        <w:numPr>
          <w:ilvl w:val="1"/>
          <w:numId w:val="10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Częstotliwość nominalna zasilania koncentratora wynosi 50 </w:t>
      </w:r>
      <w:proofErr w:type="spellStart"/>
      <w:r w:rsidRPr="001F6B22">
        <w:rPr>
          <w:rFonts w:asciiTheme="majorHAnsi" w:hAnsiTheme="majorHAnsi"/>
        </w:rPr>
        <w:t>Hz</w:t>
      </w:r>
      <w:proofErr w:type="spellEnd"/>
      <w:r w:rsidRPr="001F6B22">
        <w:rPr>
          <w:rFonts w:asciiTheme="majorHAnsi" w:hAnsiTheme="majorHAnsi"/>
        </w:rPr>
        <w:t>.</w:t>
      </w:r>
    </w:p>
    <w:p w14:paraId="6043C017" w14:textId="77777777" w:rsidR="00386AC4" w:rsidRPr="001F6B22" w:rsidRDefault="00386AC4" w:rsidP="00232859">
      <w:pPr>
        <w:pStyle w:val="Akapitzlist"/>
        <w:widowControl w:val="0"/>
        <w:numPr>
          <w:ilvl w:val="1"/>
          <w:numId w:val="10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Napięcie nominalne dla zasilania koncentratora wynosi 3x230V / 400V. </w:t>
      </w:r>
    </w:p>
    <w:p w14:paraId="222D18EF" w14:textId="77777777" w:rsidR="00386AC4" w:rsidRPr="001F6B22" w:rsidRDefault="00386AC4" w:rsidP="00232859">
      <w:pPr>
        <w:pStyle w:val="Akapitzlist"/>
        <w:widowControl w:val="0"/>
        <w:numPr>
          <w:ilvl w:val="1"/>
          <w:numId w:val="10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możliwość zasilania z gwarantowanego źródła napięcia stałego 24V +/- 5%.</w:t>
      </w:r>
    </w:p>
    <w:p w14:paraId="372255DA" w14:textId="77777777" w:rsidR="00386AC4" w:rsidRPr="001F6B22" w:rsidRDefault="00386AC4" w:rsidP="00232859">
      <w:pPr>
        <w:pStyle w:val="Akapitzlist"/>
        <w:widowControl w:val="0"/>
        <w:numPr>
          <w:ilvl w:val="1"/>
          <w:numId w:val="10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B445B8C" w14:textId="77777777" w:rsidR="00386AC4" w:rsidRPr="001F6B22" w:rsidRDefault="00386AC4" w:rsidP="00232859">
      <w:pPr>
        <w:pStyle w:val="Akapitzlist"/>
        <w:widowControl w:val="0"/>
        <w:numPr>
          <w:ilvl w:val="1"/>
          <w:numId w:val="10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878CB0C" w14:textId="77777777" w:rsidR="00386AC4" w:rsidRPr="001F6B22" w:rsidRDefault="00386AC4" w:rsidP="00232859">
      <w:pPr>
        <w:pStyle w:val="Akapitzlist"/>
        <w:widowControl w:val="0"/>
        <w:numPr>
          <w:ilvl w:val="1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spełniać wymagania ochrony przed przepięciami atmosferycznymi i sieciowymi:</w:t>
      </w:r>
    </w:p>
    <w:p w14:paraId="5D12663F" w14:textId="77777777" w:rsidR="00386AC4" w:rsidRPr="001F6B22" w:rsidRDefault="00386AC4" w:rsidP="00232859">
      <w:pPr>
        <w:pStyle w:val="Akapitzlist"/>
        <w:widowControl w:val="0"/>
        <w:numPr>
          <w:ilvl w:val="2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wytrzymałość</w:t>
      </w:r>
      <w:proofErr w:type="gramEnd"/>
      <w:r w:rsidRPr="001F6B22">
        <w:rPr>
          <w:rFonts w:asciiTheme="majorHAnsi" w:hAnsiTheme="majorHAnsi"/>
        </w:rPr>
        <w:t xml:space="preserve"> elektryczna izolacji przy f=50Hz, t=1 minuta: nie mniej niż 4kV,</w:t>
      </w:r>
    </w:p>
    <w:p w14:paraId="25E96564" w14:textId="77777777" w:rsidR="00386AC4" w:rsidRPr="001F6B22" w:rsidRDefault="00386AC4" w:rsidP="00232859">
      <w:pPr>
        <w:pStyle w:val="Akapitzlist"/>
        <w:widowControl w:val="0"/>
        <w:numPr>
          <w:ilvl w:val="2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gramStart"/>
      <w:r w:rsidRPr="001F6B22">
        <w:rPr>
          <w:rFonts w:asciiTheme="majorHAnsi" w:hAnsiTheme="majorHAnsi"/>
        </w:rPr>
        <w:t>wytrzymałość</w:t>
      </w:r>
      <w:proofErr w:type="gramEnd"/>
      <w:r w:rsidRPr="001F6B22">
        <w:rPr>
          <w:rFonts w:asciiTheme="majorHAnsi" w:hAnsiTheme="majorHAnsi"/>
        </w:rPr>
        <w:t xml:space="preserve"> izolacji przy impulsie napięciowym 1,2/50µs dla obwodów prądowych i napięciowych – minimum 6kV.</w:t>
      </w:r>
    </w:p>
    <w:p w14:paraId="05E37364" w14:textId="77777777" w:rsidR="00386AC4" w:rsidRPr="001F6B22" w:rsidRDefault="00386AC4" w:rsidP="00232859">
      <w:pPr>
        <w:pStyle w:val="Akapitzlist"/>
        <w:widowControl w:val="0"/>
        <w:numPr>
          <w:ilvl w:val="1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Obudowa koncentratora musi być wykonana w II klasie ochronności izolacji.</w:t>
      </w:r>
    </w:p>
    <w:p w14:paraId="01CE7070" w14:textId="77777777" w:rsidR="00386AC4" w:rsidRPr="001F6B22" w:rsidRDefault="00386AC4" w:rsidP="00232859">
      <w:pPr>
        <w:pStyle w:val="Akapitzlist"/>
        <w:widowControl w:val="0"/>
        <w:numPr>
          <w:ilvl w:val="1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Klasa warunków mechanicznych: M1.</w:t>
      </w:r>
    </w:p>
    <w:p w14:paraId="67BC3980" w14:textId="77777777" w:rsidR="00386AC4" w:rsidRPr="001F6B22" w:rsidRDefault="00386AC4" w:rsidP="00232859">
      <w:pPr>
        <w:pStyle w:val="Akapitzlist"/>
        <w:widowControl w:val="0"/>
        <w:numPr>
          <w:ilvl w:val="1"/>
          <w:numId w:val="10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Obudowa koncentratora oraz osłona skrzynki zaciskowej musi być wykonana z samogasnących tworzyw sztucznych (klasa palności co najmniej V-0 zgodnie z wymogami normy PN-EN</w:t>
      </w:r>
      <w:proofErr w:type="gramStart"/>
      <w:r w:rsidRPr="001F6B22">
        <w:rPr>
          <w:rFonts w:asciiTheme="majorHAnsi" w:hAnsiTheme="majorHAnsi"/>
        </w:rPr>
        <w:t xml:space="preserve"> 60695-11-10:2002 / A</w:t>
      </w:r>
      <w:proofErr w:type="gramEnd"/>
      <w:r w:rsidRPr="001F6B22">
        <w:rPr>
          <w:rFonts w:asciiTheme="majorHAnsi" w:hAnsiTheme="majorHAnsi"/>
        </w:rPr>
        <w:t>1:2005P). W przypadku zastosowania wyświetlacza, wymagana jest dla niego klasa palności co najmniej V-2 zgodnie z wymogami normy PN-EN 60695-11-10:2002/A1:2005P).</w:t>
      </w:r>
    </w:p>
    <w:p w14:paraId="3AF6C1EA" w14:textId="77777777" w:rsidR="00386AC4" w:rsidRPr="001F6B22" w:rsidRDefault="00386AC4" w:rsidP="00232859">
      <w:pPr>
        <w:pStyle w:val="Akapitzlist"/>
        <w:widowControl w:val="0"/>
        <w:numPr>
          <w:ilvl w:val="1"/>
          <w:numId w:val="10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779F365" w14:textId="77777777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wewnętrzny zegar czasu rzeczywistego. Dokładność wbudowanego zegara w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wnętrznego musi być nie gorsza niż 0,5 sekundy na dobę, w temperaturze otoczenia 23°C oraz nie gorsza niż 1 sekunda na dobę w wymaganym zakresie temperaturowym pracy koncentratora.</w:t>
      </w:r>
    </w:p>
    <w:p w14:paraId="0C7B24D0" w14:textId="28AFCC53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synchronizację zegarów czasu rzeczywistego w licznikach.</w:t>
      </w:r>
      <w:r w:rsidR="006B1801">
        <w:rPr>
          <w:rFonts w:asciiTheme="majorHAnsi" w:hAnsiTheme="majorHAnsi"/>
        </w:rPr>
        <w:t xml:space="preserve"> </w:t>
      </w:r>
    </w:p>
    <w:p w14:paraId="6B3FFF19" w14:textId="77777777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Źródłem czasu dla koncentratora jest System Centralny, zarządzający infrastrukturą pomiarową lub inny wsk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zany przez Zamawiającego serwer czasu.</w:t>
      </w:r>
    </w:p>
    <w:p w14:paraId="112A637D" w14:textId="77777777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synchronizować czas z Systemem Centralnym lub innym wskazanym przez Zamawiającego serwerem </w:t>
      </w:r>
      <w:proofErr w:type="gramStart"/>
      <w:r w:rsidRPr="001F6B22">
        <w:rPr>
          <w:rFonts w:asciiTheme="majorHAnsi" w:hAnsiTheme="majorHAnsi"/>
        </w:rPr>
        <w:t>czasu co</w:t>
      </w:r>
      <w:proofErr w:type="gramEnd"/>
      <w:r w:rsidRPr="001F6B22">
        <w:rPr>
          <w:rFonts w:asciiTheme="majorHAnsi" w:hAnsiTheme="majorHAnsi"/>
        </w:rPr>
        <w:t xml:space="preserve"> najmniej raz na dobę.</w:t>
      </w:r>
    </w:p>
    <w:p w14:paraId="22375A33" w14:textId="77777777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 przypadku utraty napięcia zasilającego, koncentrator nie może być źródłem czasu dla liczników aż do najbli</w:t>
      </w:r>
      <w:r w:rsidRPr="001F6B22">
        <w:rPr>
          <w:rFonts w:asciiTheme="majorHAnsi" w:hAnsiTheme="majorHAnsi"/>
        </w:rPr>
        <w:t>ż</w:t>
      </w:r>
      <w:r w:rsidRPr="001F6B22">
        <w:rPr>
          <w:rFonts w:asciiTheme="majorHAnsi" w:hAnsiTheme="majorHAnsi"/>
        </w:rPr>
        <w:t>szej synchronizacji z Systemem Centralnym.</w:t>
      </w:r>
    </w:p>
    <w:p w14:paraId="408C1B50" w14:textId="77777777" w:rsidR="00386AC4" w:rsidRPr="001F6B22" w:rsidRDefault="00386AC4" w:rsidP="00232859">
      <w:pPr>
        <w:pStyle w:val="Akapitzlist"/>
        <w:widowControl w:val="0"/>
        <w:numPr>
          <w:ilvl w:val="1"/>
          <w:numId w:val="11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Podtrzymanie chodu zegara przy braku napięcia zasilającego musi być nie krótsze niż 300 h. Podtrzymanie musi być zapewnione przez okres minimum 8 lat od dostawy, bez konieczności serwisowania koncentratora.</w:t>
      </w:r>
    </w:p>
    <w:p w14:paraId="5A009C29" w14:textId="77777777" w:rsidR="00386AC4" w:rsidRPr="001F6B22" w:rsidRDefault="00386AC4" w:rsidP="00232859">
      <w:pPr>
        <w:pStyle w:val="Akapitzlist"/>
        <w:widowControl w:val="0"/>
        <w:numPr>
          <w:ilvl w:val="1"/>
          <w:numId w:val="11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473B166" w14:textId="77777777" w:rsidR="00386AC4" w:rsidRPr="001F6B22" w:rsidRDefault="00386AC4" w:rsidP="00232859">
      <w:pPr>
        <w:pStyle w:val="Akapitzlist"/>
        <w:widowControl w:val="0"/>
        <w:numPr>
          <w:ilvl w:val="1"/>
          <w:numId w:val="11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5699475" w14:textId="77777777" w:rsidR="00386AC4" w:rsidRPr="001F6B22" w:rsidRDefault="00386AC4" w:rsidP="00232859">
      <w:pPr>
        <w:pStyle w:val="Akapitzlist"/>
        <w:widowControl w:val="0"/>
        <w:numPr>
          <w:ilvl w:val="1"/>
          <w:numId w:val="11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E7136C0" w14:textId="77777777" w:rsidR="00386AC4" w:rsidRPr="001F6B22" w:rsidRDefault="00386AC4" w:rsidP="00232859">
      <w:pPr>
        <w:pStyle w:val="Akapitzlist"/>
        <w:widowControl w:val="0"/>
        <w:numPr>
          <w:ilvl w:val="1"/>
          <w:numId w:val="11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84E5351" w14:textId="77777777" w:rsidR="00386AC4" w:rsidRPr="001F6B22" w:rsidRDefault="00386AC4" w:rsidP="00232859">
      <w:pPr>
        <w:pStyle w:val="Akapitzlist"/>
        <w:widowControl w:val="0"/>
        <w:numPr>
          <w:ilvl w:val="2"/>
          <w:numId w:val="111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FDF3619" w14:textId="77777777" w:rsidR="00386AC4" w:rsidRPr="001F6B22" w:rsidRDefault="00386AC4" w:rsidP="00232859">
      <w:pPr>
        <w:pStyle w:val="Akapitzlist"/>
        <w:widowControl w:val="0"/>
        <w:numPr>
          <w:ilvl w:val="2"/>
          <w:numId w:val="111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12B3798" w14:textId="77777777" w:rsidR="00386AC4" w:rsidRPr="001F6B22" w:rsidRDefault="00386AC4" w:rsidP="00232859">
      <w:pPr>
        <w:pStyle w:val="Akapitzlist"/>
        <w:widowControl w:val="0"/>
        <w:numPr>
          <w:ilvl w:val="1"/>
          <w:numId w:val="11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pozwalać na zmianę oprogramowania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 w sposób zdalny za pośrednictwem Sy</w:t>
      </w:r>
      <w:r w:rsidRPr="001F6B22">
        <w:rPr>
          <w:rFonts w:asciiTheme="majorHAnsi" w:hAnsiTheme="majorHAnsi"/>
        </w:rPr>
        <w:t>s</w:t>
      </w:r>
      <w:r w:rsidRPr="001F6B22">
        <w:rPr>
          <w:rFonts w:asciiTheme="majorHAnsi" w:hAnsiTheme="majorHAnsi"/>
        </w:rPr>
        <w:t>temu Centralnego i lokalnie.</w:t>
      </w:r>
    </w:p>
    <w:p w14:paraId="3200AC3E" w14:textId="20355CFA" w:rsidR="00386AC4" w:rsidRPr="001F6B22" w:rsidRDefault="00386AC4" w:rsidP="00232859">
      <w:pPr>
        <w:pStyle w:val="Akapitzlist"/>
        <w:widowControl w:val="0"/>
        <w:numPr>
          <w:ilvl w:val="1"/>
          <w:numId w:val="11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Konstrukcja koncentratora w zakresie rozstawu wieszaków/otworów montażowych musi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umożliwiać instalację na standardowej tablicy licznikowej (gabaryty licznika bilansującego zgodnie z Załącznikiem nr 2).</w:t>
      </w:r>
    </w:p>
    <w:p w14:paraId="5EDCA12F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51208009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6DCABB0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AB377A6" w14:textId="77777777" w:rsidR="00386AC4" w:rsidRPr="001F6B22" w:rsidRDefault="00386AC4" w:rsidP="00232859">
      <w:pPr>
        <w:pStyle w:val="Akapitzlist"/>
        <w:widowControl w:val="0"/>
        <w:numPr>
          <w:ilvl w:val="2"/>
          <w:numId w:val="113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201E6B0" w14:textId="77777777" w:rsidR="00386AC4" w:rsidRPr="001F6B22" w:rsidRDefault="00386AC4" w:rsidP="00232859">
      <w:pPr>
        <w:pStyle w:val="Akapitzlist"/>
        <w:widowControl w:val="0"/>
        <w:numPr>
          <w:ilvl w:val="2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DFB9712" w14:textId="77777777" w:rsidR="00386AC4" w:rsidRPr="001F6B22" w:rsidRDefault="00386AC4" w:rsidP="00232859">
      <w:pPr>
        <w:pStyle w:val="Akapitzlist"/>
        <w:widowControl w:val="0"/>
        <w:numPr>
          <w:ilvl w:val="2"/>
          <w:numId w:val="113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7DF8306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4B27631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D6CF6B0" w14:textId="77777777" w:rsidR="00386AC4" w:rsidRPr="001F6B22" w:rsidRDefault="00386AC4" w:rsidP="00232859">
      <w:pPr>
        <w:pStyle w:val="Akapitzlist"/>
        <w:widowControl w:val="0"/>
        <w:numPr>
          <w:ilvl w:val="1"/>
          <w:numId w:val="11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840A350" w14:textId="468EB788" w:rsidR="00386AC4" w:rsidRPr="001F6B22" w:rsidRDefault="00386AC4" w:rsidP="00232859">
      <w:pPr>
        <w:pStyle w:val="Akapitzlist"/>
        <w:widowControl w:val="0"/>
        <w:numPr>
          <w:ilvl w:val="1"/>
          <w:numId w:val="114"/>
        </w:numPr>
        <w:spacing w:before="60" w:after="60" w:line="260" w:lineRule="exact"/>
        <w:jc w:val="both"/>
        <w:rPr>
          <w:rFonts w:asciiTheme="majorHAnsi" w:hAnsiTheme="majorHAnsi"/>
        </w:rPr>
      </w:pPr>
      <w:bookmarkStart w:id="12" w:name="_Ref391370177"/>
      <w:r w:rsidRPr="001F6B22">
        <w:rPr>
          <w:rFonts w:asciiTheme="majorHAnsi" w:hAnsiTheme="majorHAnsi"/>
        </w:rPr>
        <w:t>Koncentrator musi realizować w trybie ciągłym kontrolę poprawności swojego działania, np. temperatura w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wnątrz urządzenia, wykorzystanie pamięci. W przypadku stwierdzenia nieprawidłowości musi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generować o</w:t>
      </w:r>
      <w:r w:rsidRPr="001F6B22">
        <w:rPr>
          <w:rFonts w:asciiTheme="majorHAnsi" w:hAnsiTheme="majorHAnsi"/>
        </w:rPr>
        <w:t>d</w:t>
      </w:r>
      <w:r w:rsidRPr="001F6B22">
        <w:rPr>
          <w:rFonts w:asciiTheme="majorHAnsi" w:hAnsiTheme="majorHAnsi"/>
        </w:rPr>
        <w:t>powiednie zdarzenia.</w:t>
      </w:r>
      <w:bookmarkEnd w:id="12"/>
      <w:r w:rsidRPr="001F6B22">
        <w:rPr>
          <w:rFonts w:asciiTheme="majorHAnsi" w:hAnsiTheme="majorHAnsi"/>
        </w:rPr>
        <w:t xml:space="preserve"> </w:t>
      </w:r>
    </w:p>
    <w:p w14:paraId="12C62B0D" w14:textId="77777777" w:rsidR="00386AC4" w:rsidRPr="001F6B22" w:rsidRDefault="00386AC4" w:rsidP="00232859">
      <w:pPr>
        <w:pStyle w:val="Akapitzlist"/>
        <w:widowControl w:val="0"/>
        <w:numPr>
          <w:ilvl w:val="1"/>
          <w:numId w:val="11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przechowywać w pamięci nieulotnej dane pomiarowe (profilowe i rozliczeniowe obsługiw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 xml:space="preserve">nych liczników) oraz dane </w:t>
      </w:r>
      <w:proofErr w:type="spellStart"/>
      <w:r w:rsidRPr="001F6B22">
        <w:rPr>
          <w:rFonts w:asciiTheme="majorHAnsi" w:hAnsiTheme="majorHAnsi"/>
        </w:rPr>
        <w:t>niepomiarowe</w:t>
      </w:r>
      <w:proofErr w:type="spellEnd"/>
      <w:r w:rsidRPr="001F6B22">
        <w:rPr>
          <w:rFonts w:asciiTheme="majorHAnsi" w:hAnsiTheme="majorHAnsi"/>
        </w:rPr>
        <w:t xml:space="preserve"> (zdarzenia obsługiwanych liczników oraz samego koncentratora).</w:t>
      </w:r>
    </w:p>
    <w:p w14:paraId="576E5648" w14:textId="77777777" w:rsidR="00386AC4" w:rsidRPr="001F6B22" w:rsidRDefault="00386AC4" w:rsidP="00232859">
      <w:pPr>
        <w:pStyle w:val="Akapitzlist"/>
        <w:widowControl w:val="0"/>
        <w:numPr>
          <w:ilvl w:val="1"/>
          <w:numId w:val="11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EF0E9B7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Rozmiar pamięci musi pozwolić na przechowywanie </w:t>
      </w:r>
    </w:p>
    <w:p w14:paraId="3B42D7FD" w14:textId="77777777" w:rsidR="00386AC4" w:rsidRPr="001F6B22" w:rsidRDefault="00386AC4" w:rsidP="00232859">
      <w:pPr>
        <w:pStyle w:val="Akapitzlist"/>
        <w:widowControl w:val="0"/>
        <w:numPr>
          <w:ilvl w:val="2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w pamięci nieulotnej wszystkich danych i zdarzeń, </w:t>
      </w:r>
      <w:proofErr w:type="gramStart"/>
      <w:r w:rsidRPr="001F6B22">
        <w:rPr>
          <w:rFonts w:asciiTheme="majorHAnsi" w:hAnsiTheme="majorHAnsi"/>
        </w:rPr>
        <w:t>pozyskanych z co</w:t>
      </w:r>
      <w:proofErr w:type="gramEnd"/>
      <w:r w:rsidRPr="001F6B22">
        <w:rPr>
          <w:rFonts w:asciiTheme="majorHAnsi" w:hAnsiTheme="majorHAnsi"/>
        </w:rPr>
        <w:t xml:space="preserve"> najmniej 1000 odczytywanych liczników, przynajmniej za okres ostatnich 33 dni.</w:t>
      </w:r>
    </w:p>
    <w:p w14:paraId="0E64DBD5" w14:textId="77777777" w:rsidR="00386AC4" w:rsidRPr="001F6B22" w:rsidRDefault="00386AC4" w:rsidP="00232859">
      <w:pPr>
        <w:pStyle w:val="Akapitzlist"/>
        <w:widowControl w:val="0"/>
        <w:numPr>
          <w:ilvl w:val="2"/>
          <w:numId w:val="11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E522277" w14:textId="77777777" w:rsidR="00386AC4" w:rsidRPr="001F6B22" w:rsidRDefault="00386AC4" w:rsidP="00232859">
      <w:pPr>
        <w:pStyle w:val="Akapitzlist"/>
        <w:widowControl w:val="0"/>
        <w:numPr>
          <w:ilvl w:val="2"/>
          <w:numId w:val="11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0010FE3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Dane przechowywane w pamięci koncentratora po zapełnieniu bufora muszą być nadpisywane poczynając od najstarszych danych.</w:t>
      </w:r>
    </w:p>
    <w:p w14:paraId="03CB5D72" w14:textId="78AC613C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Oznaczenie typu i numeru fabrycznego koncentratora musi trwale, niepowtarzalnie i jednoznacznie umożliwiać identyfikację każdego koncentratora. Numer naklejony na obudowę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koncentratora być tożsamy z numerem wewnętrznym urządzenia i możliwy do odczytania w sposób lokalny.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Numer wewnętrzny musi być do odczyt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nia w sposób zdalny i lokalny.</w:t>
      </w:r>
    </w:p>
    <w:p w14:paraId="2BCC9A0F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 przypadku licznika zintegrowanego z koncentratorem musi być jeden numer wspólny dla całego urządzenia.</w:t>
      </w:r>
    </w:p>
    <w:p w14:paraId="633EFB67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Określenie wersji oprogramowania koncentratora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 musi być jednoznaczne i możliwe do odczytu w sposób zdalny i lokalny.</w:t>
      </w:r>
    </w:p>
    <w:p w14:paraId="023F82FA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dodatkowe oznaczenie kodem kreskowym lub RFID [do wyboru w postępowaniu przetargowym przez OSD E]. Do każdego koncentratora muszą być dołączone trzy sztuki naklejek, zawieraj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cych oznaczenie koncentratora oraz jego kod kreskowy w następującym standardzie: [do uzupełnienia w post</w:t>
      </w:r>
      <w:r w:rsidRPr="001F6B22">
        <w:rPr>
          <w:rFonts w:asciiTheme="majorHAnsi" w:hAnsiTheme="majorHAnsi"/>
        </w:rPr>
        <w:t>ę</w:t>
      </w:r>
      <w:r w:rsidRPr="001F6B22">
        <w:rPr>
          <w:rFonts w:asciiTheme="majorHAnsi" w:hAnsiTheme="majorHAnsi"/>
        </w:rPr>
        <w:t>powaniu przetargowym przez OSD E]</w:t>
      </w:r>
    </w:p>
    <w:p w14:paraId="59905B27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Dane identyfikacyjne koncentratora muszą pozostać widoczne po zainstalowaniu koncentratora.</w:t>
      </w:r>
    </w:p>
    <w:p w14:paraId="1205D910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osłonę skrzynki zaciskowej, pod którą znajdują się zaciski zasilania oraz gniazda i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terfejsów. Obsługa koncentratora nie może wymagać demontażu pokrywy obudowy koncentratora.</w:t>
      </w:r>
    </w:p>
    <w:p w14:paraId="056508E4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Musi być możliwość zdalnego i lokalnego restartu koncentratora bez odłączania przewodów zasilających urz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dzenie.</w:t>
      </w:r>
    </w:p>
    <w:p w14:paraId="1012D0A6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Wszystkie urządzenia muszą być fabrycznie nowe (nieeksploatowane produkcyjnie).</w:t>
      </w:r>
    </w:p>
    <w:p w14:paraId="3CDB1E29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zapewnić sprzętowe wsparcie mechanizmów zarządzania pamięcią RAM, w tym wirtualne adresowanie.</w:t>
      </w:r>
    </w:p>
    <w:p w14:paraId="3D20EB07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koncentratora musi posiadać wydzieloną warstwę systemu operacyjnego wspierającego m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 xml:space="preserve">chanizmy wielozadaniowości, współbieżności i </w:t>
      </w:r>
      <w:proofErr w:type="spellStart"/>
      <w:r w:rsidRPr="001F6B22">
        <w:rPr>
          <w:rFonts w:asciiTheme="majorHAnsi" w:hAnsiTheme="majorHAnsi"/>
        </w:rPr>
        <w:t>priorytetyzacji</w:t>
      </w:r>
      <w:proofErr w:type="spellEnd"/>
      <w:r w:rsidRPr="001F6B22">
        <w:rPr>
          <w:rFonts w:asciiTheme="majorHAnsi" w:hAnsiTheme="majorHAnsi"/>
        </w:rPr>
        <w:t xml:space="preserve"> procesów.</w:t>
      </w:r>
    </w:p>
    <w:p w14:paraId="32E5471B" w14:textId="77777777" w:rsidR="00386AC4" w:rsidRPr="001F6B22" w:rsidRDefault="00386AC4" w:rsidP="00232859">
      <w:pPr>
        <w:pStyle w:val="Akapitzlist"/>
        <w:widowControl w:val="0"/>
        <w:numPr>
          <w:ilvl w:val="1"/>
          <w:numId w:val="11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będzie wyposażony w sprzętowy mechanizm </w:t>
      </w:r>
      <w:proofErr w:type="spellStart"/>
      <w:r w:rsidRPr="001F6B22">
        <w:rPr>
          <w:rFonts w:asciiTheme="majorHAnsi" w:hAnsiTheme="majorHAnsi"/>
        </w:rPr>
        <w:t>watchdog</w:t>
      </w:r>
      <w:proofErr w:type="spellEnd"/>
      <w:r w:rsidRPr="001F6B22">
        <w:rPr>
          <w:rFonts w:asciiTheme="majorHAnsi" w:hAnsiTheme="majorHAnsi"/>
        </w:rPr>
        <w:t>, wymuszający ponowne uruchomienie koncentratora w przypadku błędnego funkcjonowania oprogramowania.</w:t>
      </w:r>
    </w:p>
    <w:p w14:paraId="20E5AF4D" w14:textId="77777777" w:rsidR="00386AC4" w:rsidRPr="001F6B22" w:rsidRDefault="00386AC4" w:rsidP="007D4941">
      <w:pPr>
        <w:pStyle w:val="Akapitzlist"/>
        <w:widowControl w:val="0"/>
        <w:numPr>
          <w:ilvl w:val="1"/>
          <w:numId w:val="118"/>
        </w:numPr>
        <w:spacing w:before="60" w:after="60" w:line="300" w:lineRule="atLeast"/>
        <w:jc w:val="both"/>
        <w:rPr>
          <w:rFonts w:asciiTheme="majorHAnsi" w:hAnsiTheme="majorHAnsi"/>
        </w:rPr>
      </w:pPr>
    </w:p>
    <w:p w14:paraId="2682E44E" w14:textId="77777777" w:rsidR="00386AC4" w:rsidRPr="001F6B22" w:rsidRDefault="00386AC4" w:rsidP="00232859">
      <w:pPr>
        <w:pStyle w:val="Akapitzlist"/>
        <w:widowControl w:val="0"/>
        <w:numPr>
          <w:ilvl w:val="0"/>
          <w:numId w:val="11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  <w:b/>
        </w:rPr>
        <w:t>Obsługa koncentratora</w:t>
      </w:r>
    </w:p>
    <w:p w14:paraId="067D5B2F" w14:textId="77777777" w:rsidR="00386AC4" w:rsidRPr="001F6B22" w:rsidRDefault="00386AC4" w:rsidP="00232859">
      <w:pPr>
        <w:pStyle w:val="Akapitzlist"/>
        <w:widowControl w:val="0"/>
        <w:numPr>
          <w:ilvl w:val="1"/>
          <w:numId w:val="11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umożliwiać zmianę ustawień poszczególnych parametrów w sposób lokalny oraz zdalny. </w:t>
      </w:r>
    </w:p>
    <w:p w14:paraId="121FBB32" w14:textId="77777777" w:rsidR="00386AC4" w:rsidRPr="001F6B22" w:rsidRDefault="00386AC4" w:rsidP="00232859">
      <w:pPr>
        <w:pStyle w:val="Akapitzlist"/>
        <w:widowControl w:val="0"/>
        <w:numPr>
          <w:ilvl w:val="1"/>
          <w:numId w:val="119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zdalne aktywowanie i deaktywowanie funkcjonalności lokalnej zmiany ustawień poszczególnych parametrów i wymiany oprogramowania (</w:t>
      </w: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>). </w:t>
      </w:r>
    </w:p>
    <w:p w14:paraId="665D2B94" w14:textId="77777777" w:rsidR="00386AC4" w:rsidRPr="001F6B22" w:rsidRDefault="00386AC4" w:rsidP="00232859">
      <w:pPr>
        <w:pStyle w:val="Akapitzlist"/>
        <w:widowControl w:val="0"/>
        <w:numPr>
          <w:ilvl w:val="2"/>
          <w:numId w:val="120"/>
        </w:numPr>
        <w:spacing w:before="60" w:after="60" w:line="260" w:lineRule="exact"/>
        <w:jc w:val="both"/>
        <w:rPr>
          <w:rFonts w:asciiTheme="majorHAnsi" w:hAnsiTheme="majorHAnsi"/>
        </w:rPr>
      </w:pPr>
    </w:p>
    <w:p w14:paraId="1F5DB25F" w14:textId="77777777" w:rsidR="00386AC4" w:rsidRPr="001F6B22" w:rsidRDefault="00386AC4" w:rsidP="00232859">
      <w:pPr>
        <w:pStyle w:val="Akapitzlist"/>
        <w:widowControl w:val="0"/>
        <w:numPr>
          <w:ilvl w:val="0"/>
          <w:numId w:val="118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r w:rsidRPr="001F6B22">
        <w:rPr>
          <w:rFonts w:asciiTheme="majorHAnsi" w:hAnsiTheme="majorHAnsi"/>
          <w:b/>
        </w:rPr>
        <w:t>Oprogramowanie diagnostyczne</w:t>
      </w:r>
    </w:p>
    <w:p w14:paraId="6890A5AD" w14:textId="16D30AD6" w:rsidR="00386AC4" w:rsidRPr="001F6B22" w:rsidRDefault="00386AC4" w:rsidP="00232859">
      <w:pPr>
        <w:pStyle w:val="Akapitzlist"/>
        <w:widowControl w:val="0"/>
        <w:numPr>
          <w:ilvl w:val="1"/>
          <w:numId w:val="12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Wykonawca dostarczy oprogramowanie do lokalnej i zdalnej obsługi i diagnostyki koncentratora, umożliwiające pełną konfigurację, diagnostykę oraz odczyt danych pomiarowych i zdarzeń z urządzenia. Dopuszcza się ro</w:t>
      </w:r>
      <w:r w:rsidRPr="001F6B22">
        <w:rPr>
          <w:rFonts w:asciiTheme="majorHAnsi" w:hAnsiTheme="majorHAnsi"/>
        </w:rPr>
        <w:t>z</w:t>
      </w:r>
      <w:r w:rsidRPr="001F6B22">
        <w:rPr>
          <w:rFonts w:asciiTheme="majorHAnsi" w:hAnsiTheme="majorHAnsi"/>
        </w:rPr>
        <w:t>wiązanie zapewniające te same funkcjonalności oparte na wyposażeniu koncentratora w funkcję serwera WWW – ilekroć w niniejszej specyfikacji określone są wymagania dla oprogramowania do obsługi koncentratora, ide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 xml:space="preserve">tyczne wymaganie musi spełnić rozwiązanie oparte na serwerze WWW, </w:t>
      </w:r>
      <w:proofErr w:type="gramStart"/>
      <w:r w:rsidRPr="001F6B22">
        <w:rPr>
          <w:rFonts w:asciiTheme="majorHAnsi" w:hAnsiTheme="majorHAnsi"/>
        </w:rPr>
        <w:t>chyba że</w:t>
      </w:r>
      <w:proofErr w:type="gramEnd"/>
      <w:r w:rsidRPr="001F6B22">
        <w:rPr>
          <w:rFonts w:asciiTheme="majorHAnsi" w:hAnsiTheme="majorHAnsi"/>
        </w:rPr>
        <w:t xml:space="preserve"> w specyfikacji wprost wsk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zano inaczej.</w:t>
      </w:r>
      <w:r w:rsidR="006B1801">
        <w:rPr>
          <w:rFonts w:asciiTheme="majorHAnsi" w:hAnsiTheme="majorHAnsi"/>
        </w:rPr>
        <w:t xml:space="preserve"> </w:t>
      </w:r>
    </w:p>
    <w:p w14:paraId="1030BC69" w14:textId="77777777" w:rsidR="00386AC4" w:rsidRPr="001F6B22" w:rsidRDefault="00386AC4" w:rsidP="00232859">
      <w:pPr>
        <w:pStyle w:val="Akapitzlist"/>
        <w:widowControl w:val="0"/>
        <w:numPr>
          <w:ilvl w:val="1"/>
          <w:numId w:val="12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8B8C476" w14:textId="77777777" w:rsidR="00386AC4" w:rsidRPr="001F6B22" w:rsidRDefault="00386AC4" w:rsidP="00232859">
      <w:pPr>
        <w:pStyle w:val="Akapitzlist"/>
        <w:widowControl w:val="0"/>
        <w:numPr>
          <w:ilvl w:val="2"/>
          <w:numId w:val="123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355C52D" w14:textId="77777777" w:rsidR="00386AC4" w:rsidRPr="001F6B22" w:rsidRDefault="00386AC4" w:rsidP="00232859">
      <w:pPr>
        <w:pStyle w:val="Akapitzlist"/>
        <w:widowControl w:val="0"/>
        <w:numPr>
          <w:ilvl w:val="2"/>
          <w:numId w:val="123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2C7A0ED0" w14:textId="77777777" w:rsidR="00386AC4" w:rsidRPr="001F6B22" w:rsidRDefault="00386AC4" w:rsidP="00232859">
      <w:pPr>
        <w:pStyle w:val="Akapitzlist"/>
        <w:widowControl w:val="0"/>
        <w:numPr>
          <w:ilvl w:val="2"/>
          <w:numId w:val="123"/>
        </w:numPr>
        <w:spacing w:before="60" w:after="60" w:line="260" w:lineRule="exact"/>
        <w:jc w:val="both"/>
        <w:rPr>
          <w:rFonts w:asciiTheme="majorHAnsi" w:hAnsiTheme="majorHAnsi"/>
          <w:noProof/>
          <w:lang w:val="en-US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19715A1" w14:textId="77777777" w:rsidR="00386AC4" w:rsidRPr="001F6B22" w:rsidRDefault="00386AC4" w:rsidP="00232859">
      <w:pPr>
        <w:pStyle w:val="Akapitzlist"/>
        <w:widowControl w:val="0"/>
        <w:numPr>
          <w:ilvl w:val="1"/>
          <w:numId w:val="12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7C25BA0B" w14:textId="77777777" w:rsidR="00386AC4" w:rsidRPr="001F6B22" w:rsidRDefault="00386AC4" w:rsidP="00232859">
      <w:pPr>
        <w:pStyle w:val="Akapitzlist"/>
        <w:widowControl w:val="0"/>
        <w:numPr>
          <w:ilvl w:val="1"/>
          <w:numId w:val="12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4E5F422A" w14:textId="77777777" w:rsidR="00386AC4" w:rsidRPr="001F6B22" w:rsidRDefault="00386AC4" w:rsidP="00232859">
      <w:pPr>
        <w:pStyle w:val="Akapitzlist"/>
        <w:widowControl w:val="0"/>
        <w:numPr>
          <w:ilvl w:val="1"/>
          <w:numId w:val="12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Korzystanie z oprogramowania do obsługi koncentratora nie może wymagać uprawnień administratora syst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mu operacyjnego, ani zawierać innych technicznych ani prawnych ograniczeń w korzystaniu przez dowolnego użytkownika definiowanego przez Zamawiającego.</w:t>
      </w:r>
    </w:p>
    <w:p w14:paraId="377A1D00" w14:textId="77777777" w:rsidR="00386AC4" w:rsidRPr="001F6B22" w:rsidRDefault="00386AC4" w:rsidP="00232859">
      <w:pPr>
        <w:pStyle w:val="Akapitzlist"/>
        <w:widowControl w:val="0"/>
        <w:numPr>
          <w:ilvl w:val="1"/>
          <w:numId w:val="12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Oprogramowanie </w:t>
      </w:r>
      <w:proofErr w:type="spellStart"/>
      <w:r w:rsidRPr="001F6B22">
        <w:rPr>
          <w:rFonts w:asciiTheme="majorHAnsi" w:hAnsiTheme="majorHAnsi"/>
        </w:rPr>
        <w:t>parametryzacyjne</w:t>
      </w:r>
      <w:proofErr w:type="spellEnd"/>
      <w:r w:rsidRPr="001F6B22">
        <w:rPr>
          <w:rFonts w:asciiTheme="majorHAnsi" w:hAnsiTheme="majorHAnsi"/>
        </w:rPr>
        <w:t xml:space="preserve"> musi umożliwiać eksport danych pomiarowych, zdarzeń i konfiguracji do plików tekstowych w trzech formatach: txt, </w:t>
      </w:r>
      <w:proofErr w:type="spellStart"/>
      <w:r w:rsidRPr="001F6B22">
        <w:rPr>
          <w:rFonts w:asciiTheme="majorHAnsi" w:hAnsiTheme="majorHAnsi"/>
        </w:rPr>
        <w:t>csv</w:t>
      </w:r>
      <w:proofErr w:type="spellEnd"/>
      <w:r w:rsidRPr="001F6B22">
        <w:rPr>
          <w:rFonts w:asciiTheme="majorHAnsi" w:hAnsiTheme="majorHAnsi"/>
        </w:rPr>
        <w:t xml:space="preserve"> i </w:t>
      </w:r>
      <w:proofErr w:type="spellStart"/>
      <w:r w:rsidRPr="001F6B22">
        <w:rPr>
          <w:rFonts w:asciiTheme="majorHAnsi" w:hAnsiTheme="majorHAnsi"/>
        </w:rPr>
        <w:t>xml</w:t>
      </w:r>
      <w:proofErr w:type="spellEnd"/>
      <w:r w:rsidRPr="001F6B22">
        <w:rPr>
          <w:rFonts w:asciiTheme="majorHAnsi" w:hAnsiTheme="majorHAnsi"/>
        </w:rPr>
        <w:t xml:space="preserve"> o udokumentowanej strukturze przekazanej Zamawiaj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cemu. W pliku musi znaleźć się numer fabryczny urządzenia, z którego nastąpił eksport danych.</w:t>
      </w:r>
    </w:p>
    <w:p w14:paraId="62B75760" w14:textId="77777777" w:rsidR="00386AC4" w:rsidRPr="001F6B22" w:rsidRDefault="00386AC4" w:rsidP="00232859">
      <w:pPr>
        <w:pStyle w:val="Akapitzlist"/>
        <w:widowControl w:val="0"/>
        <w:numPr>
          <w:ilvl w:val="1"/>
          <w:numId w:val="12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Musi być dostępna możliwość zapisu do pliku konfiguracji parametryzacji koncentratora, która może służyć do masowej konfiguracji innych koncentratorów tego samego typu</w:t>
      </w:r>
    </w:p>
    <w:p w14:paraId="2E9FD791" w14:textId="77777777" w:rsidR="00386AC4" w:rsidRPr="001F6B22" w:rsidRDefault="00386AC4" w:rsidP="00232859">
      <w:pPr>
        <w:pStyle w:val="Akapitzlist"/>
        <w:widowControl w:val="0"/>
        <w:numPr>
          <w:ilvl w:val="1"/>
          <w:numId w:val="12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musi umożliwiać tworzenie i przywracanie kopii zapasowych z bieżącej konfiguracji konce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tratora.</w:t>
      </w:r>
    </w:p>
    <w:p w14:paraId="451D9969" w14:textId="77777777" w:rsidR="00386AC4" w:rsidRPr="001F6B22" w:rsidRDefault="00386AC4" w:rsidP="00232859">
      <w:pPr>
        <w:pStyle w:val="Akapitzlist"/>
        <w:widowControl w:val="0"/>
        <w:numPr>
          <w:ilvl w:val="1"/>
          <w:numId w:val="12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B9332C7" w14:textId="77777777" w:rsidR="00386AC4" w:rsidRPr="001F6B22" w:rsidRDefault="00386AC4" w:rsidP="00232859">
      <w:pPr>
        <w:pStyle w:val="Akapitzlist"/>
        <w:widowControl w:val="0"/>
        <w:numPr>
          <w:ilvl w:val="1"/>
          <w:numId w:val="12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Wykonawca zapewni przynamniej przez czas trwania gwarancji, w ramach wynagrodzenia za przedmiot z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 xml:space="preserve">mówienia, dostęp do aktualnych wersji oprogramowania do lokalnej obsługi koncentratora oraz wszelkich jego zmian, rozszerzeń i modyfikacji (np. </w:t>
      </w:r>
      <w:proofErr w:type="spellStart"/>
      <w:r w:rsidRPr="001F6B22">
        <w:rPr>
          <w:rFonts w:asciiTheme="majorHAnsi" w:hAnsiTheme="majorHAnsi"/>
        </w:rPr>
        <w:t>patche</w:t>
      </w:r>
      <w:proofErr w:type="spellEnd"/>
      <w:r w:rsidRPr="001F6B22">
        <w:rPr>
          <w:rFonts w:asciiTheme="majorHAnsi" w:hAnsiTheme="majorHAnsi"/>
        </w:rPr>
        <w:t>). Nowe wersje oprogramowania, aktualizacje i poprawki muszą z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pewnić obsługę wcześniej obsługiwanych urządzeń.</w:t>
      </w:r>
    </w:p>
    <w:p w14:paraId="790FC9C4" w14:textId="77777777" w:rsidR="00386AC4" w:rsidRPr="001F6B22" w:rsidRDefault="00386AC4" w:rsidP="00232859">
      <w:pPr>
        <w:pStyle w:val="Akapitzlist"/>
        <w:widowControl w:val="0"/>
        <w:numPr>
          <w:ilvl w:val="1"/>
          <w:numId w:val="12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Całość dostarczanego oprogramowania oraz instrukcje muszą być w wersji polskojęzycznej,</w:t>
      </w:r>
    </w:p>
    <w:p w14:paraId="6DBC5D5C" w14:textId="77777777" w:rsidR="00386AC4" w:rsidRPr="001F6B22" w:rsidRDefault="00386AC4" w:rsidP="00232859">
      <w:pPr>
        <w:pStyle w:val="Akapitzlist"/>
        <w:widowControl w:val="0"/>
        <w:numPr>
          <w:ilvl w:val="1"/>
          <w:numId w:val="12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do lokalnej obsługi koncentratora musi być przystosowane do współpracy z systemami operacyjnymi [do uzupełnienia w postępowaniu przetargowym przez OSD E].</w:t>
      </w:r>
    </w:p>
    <w:p w14:paraId="6E5687AF" w14:textId="77777777" w:rsidR="00386AC4" w:rsidRPr="001F6B22" w:rsidRDefault="00386AC4" w:rsidP="00232859">
      <w:pPr>
        <w:pStyle w:val="Akapitzlist"/>
        <w:widowControl w:val="0"/>
        <w:numPr>
          <w:ilvl w:val="1"/>
          <w:numId w:val="12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8A028C2" w14:textId="77777777" w:rsidR="00386AC4" w:rsidRPr="001F6B22" w:rsidRDefault="00386AC4" w:rsidP="00232859">
      <w:pPr>
        <w:pStyle w:val="Akapitzlist"/>
        <w:widowControl w:val="0"/>
        <w:numPr>
          <w:ilvl w:val="1"/>
          <w:numId w:val="128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  <w:color w:val="000000" w:themeColor="text1"/>
        </w:rPr>
        <w:t>Dokumentacja techniczna opisująca protokół komunikacyjny na interfejsie służącym do przekazywania d</w:t>
      </w:r>
      <w:r w:rsidRPr="001F6B22">
        <w:rPr>
          <w:rFonts w:asciiTheme="majorHAnsi" w:hAnsiTheme="majorHAnsi"/>
          <w:color w:val="000000" w:themeColor="text1"/>
        </w:rPr>
        <w:t>a</w:t>
      </w:r>
      <w:r w:rsidRPr="001F6B22">
        <w:rPr>
          <w:rFonts w:asciiTheme="majorHAnsi" w:hAnsiTheme="majorHAnsi"/>
          <w:color w:val="000000" w:themeColor="text1"/>
        </w:rPr>
        <w:t>nych do Systemu Centralnego wraz ze strukturą danych musi zostać przekazana w ramach umowy w celu i</w:t>
      </w:r>
      <w:r w:rsidRPr="001F6B22">
        <w:rPr>
          <w:rFonts w:asciiTheme="majorHAnsi" w:hAnsiTheme="majorHAnsi"/>
          <w:color w:val="000000" w:themeColor="text1"/>
        </w:rPr>
        <w:t>m</w:t>
      </w:r>
      <w:r w:rsidRPr="001F6B22">
        <w:rPr>
          <w:rFonts w:asciiTheme="majorHAnsi" w:hAnsiTheme="majorHAnsi"/>
          <w:color w:val="000000" w:themeColor="text1"/>
        </w:rPr>
        <w:t>plementacji obsługi tych urządzeń w systemach informatycznych zamawiającego oraz stworzenia nowego opr</w:t>
      </w:r>
      <w:r w:rsidRPr="001F6B22">
        <w:rPr>
          <w:rFonts w:asciiTheme="majorHAnsi" w:hAnsiTheme="majorHAnsi"/>
          <w:color w:val="000000" w:themeColor="text1"/>
        </w:rPr>
        <w:t>o</w:t>
      </w:r>
      <w:r w:rsidRPr="001F6B22">
        <w:rPr>
          <w:rFonts w:asciiTheme="majorHAnsi" w:hAnsiTheme="majorHAnsi"/>
          <w:color w:val="000000" w:themeColor="text1"/>
        </w:rPr>
        <w:t>gramowania przez zamawiającego lub na jego zlecenie.</w:t>
      </w:r>
    </w:p>
    <w:p w14:paraId="03484869" w14:textId="77777777" w:rsidR="00386AC4" w:rsidRPr="001F6B22" w:rsidRDefault="00386AC4" w:rsidP="00232859">
      <w:pPr>
        <w:pStyle w:val="Akapitzlist"/>
        <w:widowControl w:val="0"/>
        <w:numPr>
          <w:ilvl w:val="1"/>
          <w:numId w:val="129"/>
        </w:numPr>
        <w:spacing w:before="60" w:after="60" w:line="260" w:lineRule="exact"/>
        <w:jc w:val="both"/>
        <w:rPr>
          <w:rFonts w:asciiTheme="majorHAnsi" w:hAnsiTheme="majorHAnsi"/>
          <w:color w:val="000000" w:themeColor="text1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070EA4E3" w14:textId="77777777" w:rsidR="00386AC4" w:rsidRPr="001F6B22" w:rsidRDefault="00386AC4" w:rsidP="00232859">
      <w:pPr>
        <w:pStyle w:val="Akapitzlist"/>
        <w:widowControl w:val="0"/>
        <w:numPr>
          <w:ilvl w:val="0"/>
          <w:numId w:val="129"/>
        </w:numPr>
        <w:spacing w:before="60" w:after="60" w:line="260" w:lineRule="exact"/>
        <w:jc w:val="both"/>
        <w:rPr>
          <w:rFonts w:asciiTheme="majorHAnsi" w:hAnsiTheme="majorHAnsi"/>
          <w:b/>
        </w:rPr>
      </w:pPr>
      <w:r w:rsidRPr="001F6B22">
        <w:rPr>
          <w:rFonts w:asciiTheme="majorHAnsi" w:hAnsiTheme="majorHAnsi"/>
          <w:b/>
        </w:rPr>
        <w:t>Bezpieczeństwo</w:t>
      </w:r>
    </w:p>
    <w:p w14:paraId="57D8498B" w14:textId="77777777" w:rsidR="00386AC4" w:rsidRPr="001F6B22" w:rsidRDefault="00386AC4" w:rsidP="00232859">
      <w:pPr>
        <w:pStyle w:val="Akapitzlist"/>
        <w:widowControl w:val="0"/>
        <w:numPr>
          <w:ilvl w:val="1"/>
          <w:numId w:val="130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F8A495B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Koncentratory muszą spełniać wymagania ustawy o ochronie danych osobowych w zakresie warunków tec</w:t>
      </w:r>
      <w:r w:rsidRPr="001F6B22">
        <w:rPr>
          <w:rFonts w:asciiTheme="majorHAnsi" w:hAnsiTheme="majorHAnsi"/>
        </w:rPr>
        <w:t>h</w:t>
      </w:r>
      <w:r w:rsidRPr="001F6B22">
        <w:rPr>
          <w:rFonts w:asciiTheme="majorHAnsi" w:hAnsiTheme="majorHAnsi"/>
        </w:rPr>
        <w:t>nicznych i organizacyjnych, jakim powinny odpowiadać urządzenia i systemy informatyczne służące do prz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twarzania danych osobowych w zakresie środków bezpieczeństwa na poziomie wysokim zgodnie z rozporz</w:t>
      </w:r>
      <w:r w:rsidRPr="001F6B22">
        <w:rPr>
          <w:rFonts w:asciiTheme="majorHAnsi" w:hAnsiTheme="majorHAnsi"/>
        </w:rPr>
        <w:t>ą</w:t>
      </w:r>
      <w:r w:rsidRPr="001F6B22">
        <w:rPr>
          <w:rFonts w:asciiTheme="majorHAnsi" w:hAnsiTheme="majorHAnsi"/>
        </w:rPr>
        <w:t>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14:paraId="172CF9E2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Dostęp do koncentratora musi być zabezpieczony hasłem.</w:t>
      </w:r>
    </w:p>
    <w:p w14:paraId="337B1411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proofErr w:type="spellStart"/>
      <w:r w:rsidRPr="001F6B22">
        <w:rPr>
          <w:rFonts w:asciiTheme="majorHAnsi" w:hAnsiTheme="majorHAnsi"/>
        </w:rPr>
        <w:t>Firmware</w:t>
      </w:r>
      <w:proofErr w:type="spellEnd"/>
      <w:r w:rsidRPr="001F6B22">
        <w:rPr>
          <w:rFonts w:asciiTheme="majorHAnsi" w:hAnsiTheme="majorHAnsi"/>
        </w:rPr>
        <w:t xml:space="preserve"> oraz hasła i klucze przechowywane przez oprogramowanie służące do obsługi koncentratora muszą być zaszyfrowane.</w:t>
      </w:r>
    </w:p>
    <w:p w14:paraId="13BD9629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Hasła logowania do oprogramowania do obsługi koncentratora i dostępu do koncentratora muszą mieć możl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wość wpisania: min. 8 znaków, małych i wielkich liter oraz cyfr lub znaków specjalnych..</w:t>
      </w:r>
    </w:p>
    <w:p w14:paraId="6B366F65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Wszystkie hasła i metody dostępu muszą zostać opisane w dokumentacji przekazanej Zamawiającemu.</w:t>
      </w:r>
    </w:p>
    <w:p w14:paraId="225C60FE" w14:textId="52D35CAD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uwierzytelnianie za pomocą unikalnego certyfikatu, w zastępstwie używania h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sła. Klucze szyfrujące muszą być zabezpieczone. [Sposób zabezpieczenia określa OSD E stosownie do jego pol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tyki bezpieczeństwa]</w:t>
      </w:r>
    </w:p>
    <w:p w14:paraId="4D01A7F2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służące do obsługi koncentratora musi umożliwiać pobieranie haseł i kluczy z zewnętrznego pliku.</w:t>
      </w:r>
    </w:p>
    <w:p w14:paraId="5394C72E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służące do obsługi koncentratora musi posiadać zabezpieczenia uniemożliwiające jego inst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lację bez autoryzacji. Nie dotyczy to przypadków, w których funkcje oprogramowania zapewniane są przez w</w:t>
      </w:r>
      <w:r w:rsidRPr="001F6B22">
        <w:rPr>
          <w:rFonts w:asciiTheme="majorHAnsi" w:hAnsiTheme="majorHAnsi"/>
        </w:rPr>
        <w:t>y</w:t>
      </w:r>
      <w:r w:rsidRPr="001F6B22">
        <w:rPr>
          <w:rFonts w:asciiTheme="majorHAnsi" w:hAnsiTheme="majorHAnsi"/>
        </w:rPr>
        <w:t>posażenie koncentratora w funkcję serwera WWW.</w:t>
      </w:r>
    </w:p>
    <w:p w14:paraId="0DAA0881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rejestrować udane logowania i nieudane próby logowania na interfejsach lokalnych w dzienniku zdarzeń na potrzeby przesyłania zarejestrowanych zdarzeń w trybie natychmiastowym do Systemu Centralnego.</w:t>
      </w:r>
    </w:p>
    <w:p w14:paraId="4F14F9B4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zdefiniowanie konfigurowalnej liczby „n” (przynajmniej w zakresie od 1 do 10) nieudanych prób logowania, po których zostanie automatycznie przesłany komunikat do Systemu Centra</w:t>
      </w:r>
      <w:r w:rsidRPr="001F6B22">
        <w:rPr>
          <w:rFonts w:asciiTheme="majorHAnsi" w:hAnsiTheme="majorHAnsi"/>
        </w:rPr>
        <w:t>l</w:t>
      </w:r>
      <w:r w:rsidRPr="001F6B22">
        <w:rPr>
          <w:rFonts w:asciiTheme="majorHAnsi" w:hAnsiTheme="majorHAnsi"/>
        </w:rPr>
        <w:t>nego.</w:t>
      </w:r>
    </w:p>
    <w:p w14:paraId="72BC5B1C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zabezpieczenie powodujące po „n” nieudanych próbach logowania (parametr konfigurowalny przynajmniej w zakresie od 1 do 10): blokowanie możliwości logowania na określony czas (p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 xml:space="preserve">rametr konfigurowalny w zakresie od 10 do 60 minut z </w:t>
      </w:r>
      <w:proofErr w:type="gramStart"/>
      <w:r w:rsidRPr="001F6B22">
        <w:rPr>
          <w:rFonts w:asciiTheme="majorHAnsi" w:hAnsiTheme="majorHAnsi"/>
        </w:rPr>
        <w:t>krokiem co</w:t>
      </w:r>
      <w:proofErr w:type="gramEnd"/>
      <w:r w:rsidRPr="001F6B22">
        <w:rPr>
          <w:rFonts w:asciiTheme="majorHAnsi" w:hAnsiTheme="majorHAnsi"/>
        </w:rPr>
        <w:t xml:space="preserve"> 10 minut) i zapis zdarzenia.</w:t>
      </w:r>
    </w:p>
    <w:p w14:paraId="3F003084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Oprogramowanie służące do obsługi koncentratora musi posiadać zabezpieczenie powodujące blokowanie możliwości logowania po „n” nieudanych próbach logowania (parametr konfigurowalny przynajmniej w zakr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 xml:space="preserve">sie od 1 do 10) na określony czas (parametr konfigurowalny w zakresie od 10 do 60 minut z krokiem co 10 </w:t>
      </w:r>
      <w:proofErr w:type="gramStart"/>
      <w:r w:rsidRPr="001F6B22">
        <w:rPr>
          <w:rFonts w:asciiTheme="majorHAnsi" w:hAnsiTheme="majorHAnsi"/>
        </w:rPr>
        <w:t>m</w:t>
      </w:r>
      <w:r w:rsidRPr="001F6B22">
        <w:rPr>
          <w:rFonts w:asciiTheme="majorHAnsi" w:hAnsiTheme="majorHAnsi"/>
        </w:rPr>
        <w:t>i</w:t>
      </w:r>
      <w:r w:rsidRPr="001F6B22">
        <w:rPr>
          <w:rFonts w:asciiTheme="majorHAnsi" w:hAnsiTheme="majorHAnsi"/>
        </w:rPr>
        <w:t>nut) .</w:t>
      </w:r>
      <w:proofErr w:type="gramEnd"/>
    </w:p>
    <w:p w14:paraId="05520ECD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 koncentratorze musi istnieć mechanizm zdalnej zmiany hasła. W koncentratorze nie mogą być impleme</w:t>
      </w:r>
      <w:r w:rsidRPr="001F6B22">
        <w:rPr>
          <w:rFonts w:asciiTheme="majorHAnsi" w:hAnsiTheme="majorHAnsi"/>
        </w:rPr>
        <w:t>n</w:t>
      </w:r>
      <w:r w:rsidRPr="001F6B22">
        <w:rPr>
          <w:rFonts w:asciiTheme="majorHAnsi" w:hAnsiTheme="majorHAnsi"/>
        </w:rPr>
        <w:t>towane niemożliwe do zmiany hasła umożliwiające dostęp do koncentratora.</w:t>
      </w:r>
    </w:p>
    <w:p w14:paraId="380E6F97" w14:textId="77777777" w:rsidR="00386AC4" w:rsidRPr="001F6B22" w:rsidRDefault="00386AC4" w:rsidP="00232859">
      <w:pPr>
        <w:pStyle w:val="Akapitzlist"/>
        <w:widowControl w:val="0"/>
        <w:numPr>
          <w:ilvl w:val="1"/>
          <w:numId w:val="131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umożliwiać zdalną i lokalną aktywację oraz </w:t>
      </w:r>
      <w:proofErr w:type="spellStart"/>
      <w:r w:rsidRPr="001F6B22">
        <w:rPr>
          <w:rFonts w:asciiTheme="majorHAnsi" w:hAnsiTheme="majorHAnsi"/>
        </w:rPr>
        <w:t>deaktywację</w:t>
      </w:r>
      <w:proofErr w:type="spellEnd"/>
      <w:r w:rsidRPr="001F6B22">
        <w:rPr>
          <w:rFonts w:asciiTheme="majorHAnsi" w:hAnsiTheme="majorHAnsi"/>
        </w:rPr>
        <w:t xml:space="preserve"> każdego interfejsu niezależnie. W przypadku </w:t>
      </w:r>
      <w:proofErr w:type="spellStart"/>
      <w:r w:rsidRPr="001F6B22">
        <w:rPr>
          <w:rFonts w:asciiTheme="majorHAnsi" w:hAnsiTheme="majorHAnsi"/>
        </w:rPr>
        <w:t>deaktywacji</w:t>
      </w:r>
      <w:proofErr w:type="spellEnd"/>
      <w:r w:rsidRPr="001F6B22">
        <w:rPr>
          <w:rFonts w:asciiTheme="majorHAnsi" w:hAnsiTheme="majorHAnsi"/>
        </w:rPr>
        <w:t xml:space="preserve"> wszystkich interfejsów, koncentrator musi umożliwiać ich aktywację po przywróc</w:t>
      </w:r>
      <w:r w:rsidRPr="001F6B22">
        <w:rPr>
          <w:rFonts w:asciiTheme="majorHAnsi" w:hAnsiTheme="majorHAnsi"/>
        </w:rPr>
        <w:t>e</w:t>
      </w:r>
      <w:r w:rsidRPr="001F6B22">
        <w:rPr>
          <w:rFonts w:asciiTheme="majorHAnsi" w:hAnsiTheme="majorHAnsi"/>
        </w:rPr>
        <w:t>niu ustawień fabrycznych w trybie serwisowym. Przywrócenie uprawnień fabrycznych w trybie serwisowym musi wymagać zdjęcia obudowy koncentratora.</w:t>
      </w:r>
    </w:p>
    <w:p w14:paraId="1CDBD8A3" w14:textId="77777777" w:rsidR="00386AC4" w:rsidRPr="001F6B22" w:rsidRDefault="00386AC4" w:rsidP="00232859">
      <w:pPr>
        <w:pStyle w:val="Akapitzlist"/>
        <w:widowControl w:val="0"/>
        <w:numPr>
          <w:ilvl w:val="1"/>
          <w:numId w:val="13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912A474" w14:textId="77777777" w:rsidR="00386AC4" w:rsidRPr="001F6B22" w:rsidRDefault="00386AC4" w:rsidP="00232859">
      <w:pPr>
        <w:pStyle w:val="Akapitzlist"/>
        <w:widowControl w:val="0"/>
        <w:numPr>
          <w:ilvl w:val="1"/>
          <w:numId w:val="13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1B3BDBAC" w14:textId="77777777" w:rsidR="00386AC4" w:rsidRPr="001F6B22" w:rsidRDefault="00386AC4" w:rsidP="00232859">
      <w:pPr>
        <w:pStyle w:val="Akapitzlist"/>
        <w:widowControl w:val="0"/>
        <w:numPr>
          <w:ilvl w:val="1"/>
          <w:numId w:val="132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2670DAE" w14:textId="77777777" w:rsidR="00386AC4" w:rsidRPr="001F6B22" w:rsidRDefault="00386AC4" w:rsidP="00232859">
      <w:pPr>
        <w:pStyle w:val="Akapitzlist"/>
        <w:widowControl w:val="0"/>
        <w:numPr>
          <w:ilvl w:val="1"/>
          <w:numId w:val="13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Komunikacja zdalna z licznikiem realizowana kanałem PLC musi być zabezpieczona za pomocą kryptogr</w:t>
      </w:r>
      <w:r w:rsidRPr="001F6B22">
        <w:rPr>
          <w:rFonts w:asciiTheme="majorHAnsi" w:hAnsiTheme="majorHAnsi"/>
        </w:rPr>
        <w:t>a</w:t>
      </w:r>
      <w:r w:rsidRPr="001F6B22">
        <w:rPr>
          <w:rFonts w:asciiTheme="majorHAnsi" w:hAnsiTheme="majorHAnsi"/>
        </w:rPr>
        <w:t>ficznych środków ochrony</w:t>
      </w:r>
      <w:r w:rsidRPr="001F6B22">
        <w:rPr>
          <w:rFonts w:asciiTheme="majorHAnsi" w:eastAsia="MS Gothic" w:hAnsiTheme="majorHAnsi"/>
          <w:bCs/>
        </w:rPr>
        <w:t>– HLS i szyfrowania na poziomie równoważnym co najmniej z AES128</w:t>
      </w:r>
      <w:proofErr w:type="gramStart"/>
      <w:r w:rsidRPr="001F6B22">
        <w:rPr>
          <w:rFonts w:asciiTheme="majorHAnsi" w:eastAsia="MS Gothic" w:hAnsiTheme="majorHAnsi"/>
          <w:bCs/>
        </w:rPr>
        <w:t>,</w:t>
      </w:r>
      <w:r w:rsidRPr="001F6B22">
        <w:rPr>
          <w:rFonts w:asciiTheme="majorHAnsi" w:hAnsiTheme="majorHAnsi"/>
        </w:rPr>
        <w:t>,</w:t>
      </w:r>
      <w:proofErr w:type="gramEnd"/>
      <w:r w:rsidRPr="001F6B22">
        <w:rPr>
          <w:rFonts w:asciiTheme="majorHAnsi" w:hAnsiTheme="majorHAnsi"/>
        </w:rPr>
        <w:t xml:space="preserve"> także w w</w:t>
      </w:r>
      <w:r w:rsidRPr="001F6B22">
        <w:rPr>
          <w:rFonts w:asciiTheme="majorHAnsi" w:hAnsiTheme="majorHAnsi"/>
        </w:rPr>
        <w:t>y</w:t>
      </w:r>
      <w:r w:rsidRPr="001F6B22">
        <w:rPr>
          <w:rFonts w:asciiTheme="majorHAnsi" w:hAnsiTheme="majorHAnsi"/>
        </w:rPr>
        <w:t>padku uwierzytelniania hasłami.</w:t>
      </w:r>
    </w:p>
    <w:p w14:paraId="2684AEE5" w14:textId="77777777" w:rsidR="00386AC4" w:rsidRPr="001F6B22" w:rsidRDefault="00386AC4" w:rsidP="00232859">
      <w:pPr>
        <w:pStyle w:val="Akapitzlist"/>
        <w:widowControl w:val="0"/>
        <w:numPr>
          <w:ilvl w:val="1"/>
          <w:numId w:val="13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Komunikacja z Systemem Centralnym musi być szyfrowana algorytmem o długości klucza 128 bitów według specyfikacji AES lub równoważnej zapewniającej ten sam poziom bezpieczeństwa.</w:t>
      </w:r>
    </w:p>
    <w:p w14:paraId="4B364322" w14:textId="6F5E08AB" w:rsidR="00386AC4" w:rsidRPr="001F6B22" w:rsidRDefault="00386AC4" w:rsidP="00232859">
      <w:pPr>
        <w:pStyle w:val="Akapitzlist"/>
        <w:widowControl w:val="0"/>
        <w:numPr>
          <w:ilvl w:val="1"/>
          <w:numId w:val="133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Komunikacja z licznikami</w:t>
      </w:r>
      <w:r w:rsidR="006B1801">
        <w:rPr>
          <w:rFonts w:asciiTheme="majorHAnsi" w:hAnsiTheme="majorHAnsi"/>
        </w:rPr>
        <w:t xml:space="preserve"> </w:t>
      </w:r>
      <w:r w:rsidRPr="001F6B22">
        <w:rPr>
          <w:rFonts w:asciiTheme="majorHAnsi" w:hAnsiTheme="majorHAnsi"/>
        </w:rPr>
        <w:t>musi być szyfrowana algorytmem o długości klucza minimum 128 bitów według specyfikacji AES lub równoważnej zapewniającej ten sam poziom bezpieczeństwa.</w:t>
      </w:r>
    </w:p>
    <w:p w14:paraId="7BBA552D" w14:textId="77777777" w:rsidR="00386AC4" w:rsidRPr="001F6B22" w:rsidRDefault="00386AC4" w:rsidP="00232859">
      <w:pPr>
        <w:pStyle w:val="Akapitzlist"/>
        <w:widowControl w:val="0"/>
        <w:numPr>
          <w:ilvl w:val="1"/>
          <w:numId w:val="134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366299C8" w14:textId="77777777" w:rsidR="00386AC4" w:rsidRPr="001F6B22" w:rsidRDefault="00386AC4" w:rsidP="00232859">
      <w:pPr>
        <w:pStyle w:val="Akapitzlist"/>
        <w:widowControl w:val="0"/>
        <w:numPr>
          <w:ilvl w:val="1"/>
          <w:numId w:val="13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posiadać czujnik otwarcia obudowy oraz czujnik otwarcia skrzynki zaciskowej. Zarówno zarejestrowane zdarzenia otwarcia obudowy, jak i zarejestrowane zdarzenia otwarcia skrzynki zaciskowej m</w:t>
      </w:r>
      <w:r w:rsidRPr="001F6B22">
        <w:rPr>
          <w:rFonts w:asciiTheme="majorHAnsi" w:hAnsiTheme="majorHAnsi"/>
        </w:rPr>
        <w:t>u</w:t>
      </w:r>
      <w:r w:rsidRPr="001F6B22">
        <w:rPr>
          <w:rFonts w:asciiTheme="majorHAnsi" w:hAnsiTheme="majorHAnsi"/>
        </w:rPr>
        <w:t>szą być wysłane przez koncentrator do Systemu Centralnego w trybie natychmiastowym.</w:t>
      </w:r>
    </w:p>
    <w:p w14:paraId="7FB26000" w14:textId="77777777" w:rsidR="00386AC4" w:rsidRPr="001F6B22" w:rsidRDefault="00386AC4" w:rsidP="00232859">
      <w:pPr>
        <w:pStyle w:val="Akapitzlist"/>
        <w:widowControl w:val="0"/>
        <w:numPr>
          <w:ilvl w:val="1"/>
          <w:numId w:val="135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Wymagane jest indywidualne uwierzytelnienie liczników podczas nawiązywania komunikacji z koncentrat</w:t>
      </w:r>
      <w:r w:rsidRPr="001F6B22">
        <w:rPr>
          <w:rFonts w:asciiTheme="majorHAnsi" w:hAnsiTheme="majorHAnsi"/>
        </w:rPr>
        <w:t>o</w:t>
      </w:r>
      <w:r w:rsidRPr="001F6B22">
        <w:rPr>
          <w:rFonts w:asciiTheme="majorHAnsi" w:hAnsiTheme="majorHAnsi"/>
        </w:rPr>
        <w:t>rem, z wyłączeniem Sygnałów ograniczenia awaryjnego (</w:t>
      </w:r>
      <w:proofErr w:type="spellStart"/>
      <w:r w:rsidRPr="001F6B22">
        <w:rPr>
          <w:rFonts w:asciiTheme="majorHAnsi" w:hAnsiTheme="majorHAnsi"/>
        </w:rPr>
        <w:t>emergency</w:t>
      </w:r>
      <w:proofErr w:type="spellEnd"/>
      <w:r w:rsidRPr="001F6B22">
        <w:rPr>
          <w:rFonts w:asciiTheme="majorHAnsi" w:hAnsiTheme="majorHAnsi"/>
        </w:rPr>
        <w:t>).</w:t>
      </w:r>
    </w:p>
    <w:p w14:paraId="7919D1BD" w14:textId="77777777" w:rsidR="00386AC4" w:rsidRPr="001F6B22" w:rsidRDefault="00386AC4" w:rsidP="00232859">
      <w:pPr>
        <w:pStyle w:val="Akapitzlist"/>
        <w:widowControl w:val="0"/>
        <w:numPr>
          <w:ilvl w:val="1"/>
          <w:numId w:val="136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eastAsia="MS Gothic" w:hAnsiTheme="majorHAnsi"/>
          <w:bCs/>
          <w:color w:val="D9D9D9" w:themeColor="background1" w:themeShade="D9"/>
        </w:rPr>
        <w:t>/nie dotyczy/</w:t>
      </w:r>
    </w:p>
    <w:p w14:paraId="6E9035AB" w14:textId="77777777" w:rsidR="00386AC4" w:rsidRPr="001F6B22" w:rsidRDefault="00386AC4" w:rsidP="00232859">
      <w:pPr>
        <w:pStyle w:val="Akapitzlist"/>
        <w:widowControl w:val="0"/>
        <w:numPr>
          <w:ilvl w:val="1"/>
          <w:numId w:val="13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umożliwiać zmianę kluczy w obsługiwanych przez koncentrator licznikach.</w:t>
      </w:r>
    </w:p>
    <w:p w14:paraId="2D67E49F" w14:textId="77777777" w:rsidR="00386AC4" w:rsidRPr="001F6B22" w:rsidRDefault="00386AC4" w:rsidP="00232859">
      <w:pPr>
        <w:pStyle w:val="Akapitzlist"/>
        <w:widowControl w:val="0"/>
        <w:numPr>
          <w:ilvl w:val="1"/>
          <w:numId w:val="13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 xml:space="preserve">Koncentrator musi być odporny na ataki </w:t>
      </w:r>
      <w:proofErr w:type="spellStart"/>
      <w:r w:rsidRPr="001F6B22">
        <w:rPr>
          <w:rFonts w:asciiTheme="majorHAnsi" w:hAnsiTheme="majorHAnsi"/>
        </w:rPr>
        <w:t>DoS</w:t>
      </w:r>
      <w:proofErr w:type="spellEnd"/>
      <w:r w:rsidRPr="001F6B22">
        <w:rPr>
          <w:rFonts w:asciiTheme="majorHAnsi" w:hAnsiTheme="majorHAnsi"/>
        </w:rPr>
        <w:t xml:space="preserve"> przeprowadzane na każdy z interfejsów, przez co należy roz</w:t>
      </w:r>
      <w:r w:rsidRPr="001F6B22">
        <w:rPr>
          <w:rFonts w:asciiTheme="majorHAnsi" w:hAnsiTheme="majorHAnsi"/>
        </w:rPr>
        <w:t>u</w:t>
      </w:r>
      <w:r w:rsidRPr="001F6B22">
        <w:rPr>
          <w:rFonts w:asciiTheme="majorHAnsi" w:hAnsiTheme="majorHAnsi"/>
        </w:rPr>
        <w:t>mieć możliwość niezakłóconej realizacji funkcji koncentratora w razie ataku </w:t>
      </w:r>
      <w:proofErr w:type="spellStart"/>
      <w:r w:rsidRPr="001F6B22">
        <w:rPr>
          <w:rFonts w:asciiTheme="majorHAnsi" w:hAnsiTheme="majorHAnsi"/>
        </w:rPr>
        <w:t>DoS</w:t>
      </w:r>
      <w:proofErr w:type="spellEnd"/>
      <w:r w:rsidRPr="001F6B22">
        <w:rPr>
          <w:rFonts w:asciiTheme="majorHAnsi" w:hAnsiTheme="majorHAnsi"/>
        </w:rPr>
        <w:t>. </w:t>
      </w:r>
    </w:p>
    <w:p w14:paraId="05BA7936" w14:textId="77777777" w:rsidR="00386AC4" w:rsidRPr="001F6B22" w:rsidRDefault="00386AC4" w:rsidP="00232859">
      <w:pPr>
        <w:pStyle w:val="Akapitzlist"/>
        <w:widowControl w:val="0"/>
        <w:numPr>
          <w:ilvl w:val="1"/>
          <w:numId w:val="13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być zabezpieczony przed możliwością bezpośredniego skopiowania obrazu binarnego oprogramowania oraz obszarów pamięci.</w:t>
      </w:r>
    </w:p>
    <w:p w14:paraId="5DC8D11A" w14:textId="77777777" w:rsidR="00386AC4" w:rsidRPr="001F6B22" w:rsidRDefault="00386AC4" w:rsidP="00232859">
      <w:pPr>
        <w:pStyle w:val="Akapitzlist"/>
        <w:widowControl w:val="0"/>
        <w:numPr>
          <w:ilvl w:val="1"/>
          <w:numId w:val="137"/>
        </w:numPr>
        <w:spacing w:before="60" w:after="60" w:line="260" w:lineRule="exact"/>
        <w:jc w:val="both"/>
        <w:rPr>
          <w:rFonts w:asciiTheme="majorHAnsi" w:hAnsiTheme="majorHAnsi"/>
        </w:rPr>
      </w:pPr>
      <w:r w:rsidRPr="001F6B22">
        <w:rPr>
          <w:rFonts w:asciiTheme="majorHAnsi" w:hAnsiTheme="majorHAnsi"/>
        </w:rPr>
        <w:t>Koncentrator musi zapewniać masową wymianę kluczy szyfrujących w licznikach.</w:t>
      </w:r>
    </w:p>
    <w:p w14:paraId="7C0AAD08" w14:textId="77777777" w:rsidR="00386AC4" w:rsidRPr="001F6B22" w:rsidRDefault="00386AC4" w:rsidP="00386AC4">
      <w:pPr>
        <w:widowControl w:val="0"/>
        <w:rPr>
          <w:rFonts w:asciiTheme="majorHAnsi" w:hAnsiTheme="majorHAnsi"/>
        </w:rPr>
      </w:pPr>
    </w:p>
    <w:p w14:paraId="409CFCE6" w14:textId="77777777" w:rsidR="00386AC4" w:rsidRPr="001F6B22" w:rsidRDefault="00386AC4" w:rsidP="00386AC4">
      <w:pPr>
        <w:widowControl w:val="0"/>
        <w:rPr>
          <w:rFonts w:asciiTheme="majorHAnsi" w:hAnsiTheme="majorHAnsi"/>
        </w:rPr>
      </w:pPr>
    </w:p>
    <w:p w14:paraId="619EDA18" w14:textId="77777777" w:rsidR="00386AC4" w:rsidRPr="001F6B22" w:rsidRDefault="00386AC4" w:rsidP="00386AC4">
      <w:pPr>
        <w:spacing w:after="120" w:line="300" w:lineRule="atLeast"/>
        <w:jc w:val="center"/>
        <w:rPr>
          <w:rFonts w:asciiTheme="majorHAnsi" w:hAnsiTheme="majorHAnsi" w:cs="Arial"/>
          <w:sz w:val="22"/>
          <w:szCs w:val="22"/>
        </w:rPr>
      </w:pPr>
      <w:r w:rsidRPr="001F6B22" w:rsidDel="007440BE">
        <w:rPr>
          <w:rFonts w:asciiTheme="majorHAnsi" w:hAnsiTheme="majorHAnsi" w:cs="Arial"/>
          <w:sz w:val="22"/>
          <w:szCs w:val="22"/>
        </w:rPr>
        <w:t xml:space="preserve"> </w:t>
      </w:r>
    </w:p>
    <w:p w14:paraId="4BDB35EF" w14:textId="77777777" w:rsidR="001F6B22" w:rsidRDefault="001F6B2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tbl>
      <w:tblPr>
        <w:tblStyle w:val="Tabela-Siatk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86AC4" w:rsidRPr="001F6B22" w14:paraId="2220BEB3" w14:textId="77777777" w:rsidTr="003F2AA5">
        <w:tc>
          <w:tcPr>
            <w:tcW w:w="6096" w:type="dxa"/>
          </w:tcPr>
          <w:p w14:paraId="161797A1" w14:textId="0308A64F" w:rsidR="00386AC4" w:rsidRPr="001F6B22" w:rsidRDefault="00641338" w:rsidP="00140A00">
            <w:pPr>
              <w:spacing w:after="120"/>
              <w:jc w:val="right"/>
              <w:rPr>
                <w:rFonts w:asciiTheme="majorHAnsi" w:hAnsiTheme="majorHAnsi" w:cs="Arial"/>
              </w:rPr>
            </w:pPr>
            <w:r w:rsidRPr="001F6B22">
              <w:rPr>
                <w:rFonts w:asciiTheme="majorHAnsi" w:hAnsiTheme="majorHAnsi" w:cs="Arial"/>
                <w:b/>
              </w:rPr>
              <w:t xml:space="preserve">Załącznik </w:t>
            </w:r>
            <w:r>
              <w:rPr>
                <w:rFonts w:asciiTheme="majorHAnsi" w:hAnsiTheme="majorHAnsi" w:cs="Arial"/>
                <w:b/>
              </w:rPr>
              <w:t>B</w:t>
            </w:r>
            <w:r w:rsidRPr="001F6B22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5D40B03E" w14:textId="77777777" w:rsidR="00386AC4" w:rsidRPr="001F6B22" w:rsidRDefault="00386AC4" w:rsidP="003F2AA5">
      <w:pPr>
        <w:spacing w:line="300" w:lineRule="atLeast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 </w:t>
      </w:r>
    </w:p>
    <w:p w14:paraId="07B06902" w14:textId="77777777" w:rsidR="00386AC4" w:rsidRPr="00BE39E6" w:rsidRDefault="00386AC4" w:rsidP="00386AC4">
      <w:pPr>
        <w:spacing w:after="120" w:line="300" w:lineRule="atLeast"/>
        <w:jc w:val="center"/>
        <w:rPr>
          <w:rFonts w:asciiTheme="majorHAnsi" w:hAnsiTheme="majorHAnsi" w:cs="Arial"/>
          <w:b/>
          <w:sz w:val="22"/>
          <w:szCs w:val="22"/>
        </w:rPr>
      </w:pPr>
      <w:r w:rsidRPr="00BE39E6">
        <w:rPr>
          <w:rFonts w:asciiTheme="majorHAnsi" w:hAnsiTheme="majorHAnsi" w:cs="Arial"/>
          <w:b/>
          <w:sz w:val="22"/>
          <w:szCs w:val="22"/>
        </w:rPr>
        <w:t>Wymagania dotyczące infrastruktury sprzętowej ZKB</w:t>
      </w:r>
    </w:p>
    <w:p w14:paraId="1DF41D33" w14:textId="77777777" w:rsidR="00BE39E6" w:rsidRPr="00BE39E6" w:rsidRDefault="00BE39E6" w:rsidP="00BE39E6">
      <w:pPr>
        <w:jc w:val="both"/>
        <w:rPr>
          <w:rFonts w:asciiTheme="majorHAnsi" w:hAnsiTheme="majorHAnsi"/>
        </w:rPr>
      </w:pPr>
    </w:p>
    <w:p w14:paraId="3910F755" w14:textId="77777777" w:rsidR="00BE39E6" w:rsidRPr="00BE39E6" w:rsidRDefault="00BE39E6" w:rsidP="007D4941">
      <w:pPr>
        <w:pStyle w:val="Akapitzlist"/>
        <w:numPr>
          <w:ilvl w:val="0"/>
          <w:numId w:val="146"/>
        </w:numPr>
        <w:spacing w:after="12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Architektura rozwiązania</w:t>
      </w:r>
    </w:p>
    <w:p w14:paraId="5AED4E7F" w14:textId="6699BA96" w:rsidR="00BE39E6" w:rsidRPr="00BE39E6" w:rsidRDefault="00BE39E6" w:rsidP="007D4941">
      <w:pPr>
        <w:pStyle w:val="Akapitzlist"/>
        <w:numPr>
          <w:ilvl w:val="1"/>
          <w:numId w:val="146"/>
        </w:numPr>
        <w:spacing w:after="12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Architektura logiczna platformy sprzętowej </w:t>
      </w:r>
      <w:r>
        <w:rPr>
          <w:rFonts w:asciiTheme="majorHAnsi" w:hAnsiTheme="majorHAnsi"/>
        </w:rPr>
        <w:t>musiała</w:t>
      </w:r>
      <w:r w:rsidRPr="00BE39E6">
        <w:rPr>
          <w:rFonts w:asciiTheme="majorHAnsi" w:hAnsiTheme="majorHAnsi"/>
        </w:rPr>
        <w:t xml:space="preserve"> być zgodna z poniższym, ogólnym schematem,</w:t>
      </w:r>
    </w:p>
    <w:p w14:paraId="5CE93713" w14:textId="77777777" w:rsidR="00BE39E6" w:rsidRPr="00BE39E6" w:rsidRDefault="00BE39E6" w:rsidP="00BE39E6">
      <w:pPr>
        <w:spacing w:after="120"/>
        <w:ind w:left="277"/>
        <w:jc w:val="both"/>
        <w:rPr>
          <w:rFonts w:asciiTheme="majorHAnsi" w:hAnsiTheme="majorHAnsi"/>
          <w:sz w:val="8"/>
        </w:rPr>
      </w:pPr>
      <w:r w:rsidRPr="00BE39E6">
        <w:rPr>
          <w:rFonts w:asciiTheme="majorHAnsi" w:hAnsiTheme="majorHAnsi"/>
        </w:rPr>
        <w:object w:dxaOrig="10536" w:dyaOrig="7152" w14:anchorId="3E742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07.8pt" o:ole="">
            <v:imagedata r:id="rId9" o:title=""/>
          </v:shape>
          <o:OLEObject Type="Embed" ProgID="Visio.Drawing.15" ShapeID="_x0000_i1025" DrawAspect="Content" ObjectID="_1515922534" r:id="rId10"/>
        </w:object>
      </w:r>
    </w:p>
    <w:p w14:paraId="79F2C50A" w14:textId="77777777" w:rsidR="00BE39E6" w:rsidRPr="00BE39E6" w:rsidRDefault="00BE39E6" w:rsidP="00BE39E6">
      <w:pPr>
        <w:spacing w:after="120"/>
        <w:ind w:left="277"/>
        <w:jc w:val="both"/>
        <w:rPr>
          <w:rFonts w:asciiTheme="majorHAnsi" w:hAnsiTheme="majorHAnsi"/>
        </w:rPr>
      </w:pPr>
      <w:proofErr w:type="gramStart"/>
      <w:r w:rsidRPr="00BE39E6">
        <w:rPr>
          <w:rFonts w:asciiTheme="majorHAnsi" w:hAnsiTheme="majorHAnsi"/>
        </w:rPr>
        <w:t>gdzie</w:t>
      </w:r>
      <w:proofErr w:type="gramEnd"/>
      <w:r w:rsidRPr="00BE39E6">
        <w:rPr>
          <w:rFonts w:asciiTheme="majorHAnsi" w:hAnsiTheme="majorHAnsi"/>
        </w:rPr>
        <w:t xml:space="preserve"> wymagane jest zastosowanie następujących elementów:</w:t>
      </w:r>
    </w:p>
    <w:p w14:paraId="717E1B79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CPU (</w:t>
      </w:r>
      <w:r w:rsidRPr="00BE39E6">
        <w:rPr>
          <w:rFonts w:asciiTheme="majorHAnsi" w:hAnsiTheme="majorHAnsi"/>
          <w:i/>
        </w:rPr>
        <w:t>Central Processing Unit</w:t>
      </w:r>
      <w:r w:rsidRPr="00BE39E6">
        <w:rPr>
          <w:rFonts w:asciiTheme="majorHAnsi" w:hAnsiTheme="majorHAnsi"/>
        </w:rPr>
        <w:t>) - układ mikroprocesorowy, posiadający następujące cechy:</w:t>
      </w:r>
    </w:p>
    <w:p w14:paraId="0DF0E121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Popularny model programowy używany do realizacji systemów wbudowanych np. ARM, MIPS, </w:t>
      </w:r>
      <w:proofErr w:type="spellStart"/>
      <w:r w:rsidRPr="00BE39E6">
        <w:rPr>
          <w:rFonts w:asciiTheme="majorHAnsi" w:hAnsiTheme="majorHAnsi"/>
        </w:rPr>
        <w:t>Xtensa</w:t>
      </w:r>
      <w:proofErr w:type="spellEnd"/>
      <w:r w:rsidRPr="00BE39E6">
        <w:rPr>
          <w:rFonts w:asciiTheme="majorHAnsi" w:hAnsiTheme="majorHAnsi"/>
        </w:rPr>
        <w:t>, itp.</w:t>
      </w:r>
    </w:p>
    <w:p w14:paraId="6CF95F51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32-u bitowa architektura.</w:t>
      </w:r>
    </w:p>
    <w:p w14:paraId="35CA8656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Jednostka zarządzania pamięcią MMU (Memory Management Unit).</w:t>
      </w:r>
    </w:p>
    <w:p w14:paraId="359057E7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proofErr w:type="gramStart"/>
      <w:r w:rsidRPr="00BE39E6">
        <w:rPr>
          <w:rFonts w:asciiTheme="majorHAnsi" w:hAnsiTheme="majorHAnsi"/>
        </w:rPr>
        <w:t>Wydajność co</w:t>
      </w:r>
      <w:proofErr w:type="gramEnd"/>
      <w:r w:rsidRPr="00BE39E6">
        <w:rPr>
          <w:rFonts w:asciiTheme="majorHAnsi" w:hAnsiTheme="majorHAnsi"/>
        </w:rPr>
        <w:t xml:space="preserve"> najmniej 500 DMIPS (</w:t>
      </w:r>
      <w:proofErr w:type="spellStart"/>
      <w:r w:rsidRPr="00BE39E6">
        <w:rPr>
          <w:rFonts w:asciiTheme="majorHAnsi" w:hAnsiTheme="majorHAnsi"/>
          <w:i/>
        </w:rPr>
        <w:t>Million</w:t>
      </w:r>
      <w:proofErr w:type="spellEnd"/>
      <w:r w:rsidRPr="00BE39E6">
        <w:rPr>
          <w:rFonts w:asciiTheme="majorHAnsi" w:hAnsiTheme="majorHAnsi"/>
          <w:i/>
        </w:rPr>
        <w:t xml:space="preserve"> </w:t>
      </w:r>
      <w:proofErr w:type="spellStart"/>
      <w:r w:rsidRPr="00BE39E6">
        <w:rPr>
          <w:rFonts w:asciiTheme="majorHAnsi" w:hAnsiTheme="majorHAnsi"/>
          <w:i/>
        </w:rPr>
        <w:t>Instructions</w:t>
      </w:r>
      <w:proofErr w:type="spellEnd"/>
      <w:r w:rsidRPr="00BE39E6">
        <w:rPr>
          <w:rFonts w:asciiTheme="majorHAnsi" w:hAnsiTheme="majorHAnsi"/>
          <w:i/>
        </w:rPr>
        <w:t xml:space="preserve"> Per Second</w:t>
      </w:r>
      <w:r w:rsidRPr="00BE39E6">
        <w:rPr>
          <w:rFonts w:asciiTheme="majorHAnsi" w:hAnsiTheme="majorHAnsi"/>
        </w:rPr>
        <w:t xml:space="preserve">), potwierdzoną wynikami testu </w:t>
      </w:r>
      <w:proofErr w:type="spellStart"/>
      <w:r w:rsidRPr="00BE39E6">
        <w:rPr>
          <w:rFonts w:asciiTheme="majorHAnsi" w:hAnsiTheme="majorHAnsi"/>
        </w:rPr>
        <w:t>Dhrystones</w:t>
      </w:r>
      <w:proofErr w:type="spellEnd"/>
      <w:r w:rsidRPr="00BE39E6">
        <w:rPr>
          <w:rFonts w:asciiTheme="majorHAnsi" w:hAnsiTheme="majorHAnsi"/>
        </w:rPr>
        <w:t>.</w:t>
      </w:r>
    </w:p>
    <w:p w14:paraId="7D88F768" w14:textId="1F56E468" w:rsidR="00BE39E6" w:rsidRPr="00896BED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proofErr w:type="gramStart"/>
      <w:r w:rsidRPr="00896BED">
        <w:rPr>
          <w:rFonts w:asciiTheme="majorHAnsi" w:hAnsiTheme="majorHAnsi"/>
        </w:rPr>
        <w:t xml:space="preserve">Wydajność </w:t>
      </w:r>
      <w:r w:rsidR="00896BED" w:rsidRPr="00896BED">
        <w:rPr>
          <w:rFonts w:asciiTheme="majorHAnsi" w:hAnsiTheme="majorHAnsi"/>
        </w:rPr>
        <w:t>co</w:t>
      </w:r>
      <w:proofErr w:type="gramEnd"/>
      <w:r w:rsidR="00896BED" w:rsidRPr="00896BED">
        <w:rPr>
          <w:rFonts w:asciiTheme="majorHAnsi" w:hAnsiTheme="majorHAnsi"/>
        </w:rPr>
        <w:t xml:space="preserve"> najmniej 230</w:t>
      </w:r>
      <w:r w:rsidRPr="00896BED">
        <w:rPr>
          <w:rFonts w:asciiTheme="majorHAnsi" w:hAnsiTheme="majorHAnsi"/>
        </w:rPr>
        <w:t xml:space="preserve"> </w:t>
      </w:r>
      <w:r w:rsidR="00896BED" w:rsidRPr="00896BED">
        <w:rPr>
          <w:rFonts w:asciiTheme="majorHAnsi" w:hAnsiTheme="majorHAnsi"/>
        </w:rPr>
        <w:t>M</w:t>
      </w:r>
      <w:r w:rsidRPr="00896BED">
        <w:rPr>
          <w:rFonts w:asciiTheme="majorHAnsi" w:hAnsiTheme="majorHAnsi"/>
        </w:rPr>
        <w:t>FLOPS (</w:t>
      </w:r>
      <w:proofErr w:type="spellStart"/>
      <w:r w:rsidRPr="00896BED">
        <w:rPr>
          <w:rFonts w:asciiTheme="majorHAnsi" w:hAnsiTheme="majorHAnsi"/>
          <w:i/>
        </w:rPr>
        <w:t>FLoating</w:t>
      </w:r>
      <w:proofErr w:type="spellEnd"/>
      <w:r w:rsidRPr="00896BED">
        <w:rPr>
          <w:rFonts w:asciiTheme="majorHAnsi" w:hAnsiTheme="majorHAnsi"/>
          <w:i/>
        </w:rPr>
        <w:t xml:space="preserve"> point Operations Per Second</w:t>
      </w:r>
      <w:r w:rsidRPr="00896BED">
        <w:rPr>
          <w:rFonts w:asciiTheme="majorHAnsi" w:hAnsiTheme="majorHAnsi"/>
        </w:rPr>
        <w:t>), p</w:t>
      </w:r>
      <w:r w:rsidRPr="00896BED">
        <w:rPr>
          <w:rFonts w:asciiTheme="majorHAnsi" w:hAnsiTheme="majorHAnsi"/>
        </w:rPr>
        <w:t>o</w:t>
      </w:r>
      <w:r w:rsidRPr="00896BED">
        <w:rPr>
          <w:rFonts w:asciiTheme="majorHAnsi" w:hAnsiTheme="majorHAnsi"/>
        </w:rPr>
        <w:t xml:space="preserve">twierdzoną wynikami testu </w:t>
      </w:r>
      <w:proofErr w:type="spellStart"/>
      <w:r w:rsidRPr="00896BED">
        <w:rPr>
          <w:rFonts w:asciiTheme="majorHAnsi" w:hAnsiTheme="majorHAnsi"/>
        </w:rPr>
        <w:t>Whetstones</w:t>
      </w:r>
      <w:proofErr w:type="spellEnd"/>
      <w:r w:rsidRPr="00896BED">
        <w:rPr>
          <w:rFonts w:asciiTheme="majorHAnsi" w:hAnsiTheme="majorHAnsi"/>
        </w:rPr>
        <w:t>.</w:t>
      </w:r>
    </w:p>
    <w:p w14:paraId="0A883D5B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Pamięć operacyjna RAM o rozmiarze minimum 64 MB.</w:t>
      </w:r>
    </w:p>
    <w:p w14:paraId="27A6872E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Przepływność magistrali </w:t>
      </w:r>
      <w:proofErr w:type="gramStart"/>
      <w:r w:rsidRPr="00BE39E6">
        <w:rPr>
          <w:rFonts w:asciiTheme="majorHAnsi" w:hAnsiTheme="majorHAnsi"/>
        </w:rPr>
        <w:t>pamięci co</w:t>
      </w:r>
      <w:proofErr w:type="gramEnd"/>
      <w:r w:rsidRPr="00BE39E6">
        <w:rPr>
          <w:rFonts w:asciiTheme="majorHAnsi" w:hAnsiTheme="majorHAnsi"/>
        </w:rPr>
        <w:t xml:space="preserve"> najmniej 8 </w:t>
      </w:r>
      <w:proofErr w:type="spellStart"/>
      <w:r w:rsidRPr="00BE39E6">
        <w:rPr>
          <w:rFonts w:asciiTheme="majorHAnsi" w:hAnsiTheme="majorHAnsi"/>
        </w:rPr>
        <w:t>Gbps</w:t>
      </w:r>
      <w:proofErr w:type="spellEnd"/>
      <w:r w:rsidRPr="00BE39E6">
        <w:rPr>
          <w:rFonts w:asciiTheme="majorHAnsi" w:hAnsiTheme="majorHAnsi"/>
        </w:rPr>
        <w:t>.</w:t>
      </w:r>
    </w:p>
    <w:p w14:paraId="3A9CAF40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Pamięć FLASH o rozmiarze 1 GB i żywotności przekraczającej 100 000 zapisów / </w:t>
      </w:r>
      <w:proofErr w:type="spellStart"/>
      <w:r w:rsidRPr="00BE39E6">
        <w:rPr>
          <w:rFonts w:asciiTheme="majorHAnsi" w:hAnsiTheme="majorHAnsi"/>
        </w:rPr>
        <w:t>kasowań</w:t>
      </w:r>
      <w:proofErr w:type="spellEnd"/>
      <w:r w:rsidRPr="00BE39E6">
        <w:rPr>
          <w:rFonts w:asciiTheme="majorHAnsi" w:hAnsiTheme="majorHAnsi"/>
        </w:rPr>
        <w:t xml:space="preserve"> na pojedynczy blok danych oraz o minimalnej retencji danych wynoszącej 10 lat.</w:t>
      </w:r>
    </w:p>
    <w:p w14:paraId="27FC054A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GPIO (</w:t>
      </w:r>
      <w:r w:rsidRPr="00BE39E6">
        <w:rPr>
          <w:rFonts w:asciiTheme="majorHAnsi" w:hAnsiTheme="majorHAnsi"/>
          <w:i/>
        </w:rPr>
        <w:t xml:space="preserve">General </w:t>
      </w:r>
      <w:proofErr w:type="spellStart"/>
      <w:r w:rsidRPr="00BE39E6">
        <w:rPr>
          <w:rFonts w:asciiTheme="majorHAnsi" w:hAnsiTheme="majorHAnsi"/>
          <w:i/>
        </w:rPr>
        <w:t>Purpose</w:t>
      </w:r>
      <w:proofErr w:type="spellEnd"/>
      <w:r w:rsidRPr="00BE39E6">
        <w:rPr>
          <w:rFonts w:asciiTheme="majorHAnsi" w:hAnsiTheme="majorHAnsi"/>
          <w:i/>
        </w:rPr>
        <w:t xml:space="preserve"> Input / </w:t>
      </w:r>
      <w:proofErr w:type="spellStart"/>
      <w:r w:rsidRPr="00BE39E6">
        <w:rPr>
          <w:rFonts w:asciiTheme="majorHAnsi" w:hAnsiTheme="majorHAnsi"/>
          <w:i/>
        </w:rPr>
        <w:t>Output</w:t>
      </w:r>
      <w:proofErr w:type="spellEnd"/>
      <w:r w:rsidRPr="00BE39E6">
        <w:rPr>
          <w:rFonts w:asciiTheme="majorHAnsi" w:hAnsiTheme="majorHAnsi"/>
        </w:rPr>
        <w:t>) – interfejs do obsługi wejść / wyjść cyfrowych np. podł</w:t>
      </w:r>
      <w:r w:rsidRPr="00BE39E6">
        <w:rPr>
          <w:rFonts w:asciiTheme="majorHAnsi" w:hAnsiTheme="majorHAnsi"/>
        </w:rPr>
        <w:t>ą</w:t>
      </w:r>
      <w:r w:rsidRPr="00BE39E6">
        <w:rPr>
          <w:rFonts w:asciiTheme="majorHAnsi" w:hAnsiTheme="majorHAnsi"/>
        </w:rPr>
        <w:t>czenia czujników otwarcia obudowy, sterowania wskaźnikami stanu pracy urządzania, itp.</w:t>
      </w:r>
    </w:p>
    <w:p w14:paraId="0A63B5F6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Termometr – układ do pomiaru temperatury wewnątrz obudowy urządzenia.</w:t>
      </w:r>
    </w:p>
    <w:p w14:paraId="2E485C2F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USB Host (</w:t>
      </w:r>
      <w:r w:rsidRPr="00BE39E6">
        <w:rPr>
          <w:rFonts w:asciiTheme="majorHAnsi" w:hAnsiTheme="majorHAnsi"/>
          <w:i/>
        </w:rPr>
        <w:t>Uniwersal Serial Bus</w:t>
      </w:r>
      <w:r w:rsidRPr="00BE39E6">
        <w:rPr>
          <w:rFonts w:asciiTheme="majorHAnsi" w:hAnsiTheme="majorHAnsi"/>
        </w:rPr>
        <w:t xml:space="preserve">) – host kontroler uniwersalnego interfejsu komunikacyjnego w standardzie minimum USB 2.0, </w:t>
      </w:r>
      <w:proofErr w:type="gramStart"/>
      <w:r w:rsidRPr="00BE39E6">
        <w:rPr>
          <w:rFonts w:asciiTheme="majorHAnsi" w:hAnsiTheme="majorHAnsi"/>
        </w:rPr>
        <w:t>zakończony</w:t>
      </w:r>
      <w:proofErr w:type="gramEnd"/>
      <w:r w:rsidRPr="00BE39E6">
        <w:rPr>
          <w:rFonts w:asciiTheme="majorHAnsi" w:hAnsiTheme="majorHAnsi"/>
        </w:rPr>
        <w:t xml:space="preserve"> gniazdem typu A, zgodny z EHCI (</w:t>
      </w:r>
      <w:proofErr w:type="spellStart"/>
      <w:r w:rsidRPr="00BE39E6">
        <w:rPr>
          <w:rFonts w:asciiTheme="majorHAnsi" w:hAnsiTheme="majorHAnsi"/>
          <w:i/>
        </w:rPr>
        <w:t>Enhanced</w:t>
      </w:r>
      <w:proofErr w:type="spellEnd"/>
      <w:r w:rsidRPr="00BE39E6">
        <w:rPr>
          <w:rFonts w:asciiTheme="majorHAnsi" w:hAnsiTheme="majorHAnsi"/>
          <w:i/>
        </w:rPr>
        <w:t xml:space="preserve"> Host Controller Interface</w:t>
      </w:r>
      <w:r w:rsidRPr="00BE39E6">
        <w:rPr>
          <w:rFonts w:asciiTheme="majorHAnsi" w:hAnsiTheme="majorHAnsi"/>
        </w:rPr>
        <w:t xml:space="preserve">), </w:t>
      </w:r>
    </w:p>
    <w:p w14:paraId="29054B4C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proofErr w:type="spellStart"/>
      <w:r w:rsidRPr="00BE39E6">
        <w:rPr>
          <w:rFonts w:asciiTheme="majorHAnsi" w:hAnsiTheme="majorHAnsi"/>
        </w:rPr>
        <w:t>Eth</w:t>
      </w:r>
      <w:proofErr w:type="spellEnd"/>
      <w:r w:rsidRPr="00BE39E6">
        <w:rPr>
          <w:rFonts w:asciiTheme="majorHAnsi" w:hAnsiTheme="majorHAnsi"/>
        </w:rPr>
        <w:t xml:space="preserve"> 10/100 – interfejs komunikacyjny Ethernet 10 / 100, zakończony gniazdem w standardzie RJ 45,</w:t>
      </w:r>
    </w:p>
    <w:p w14:paraId="4B265C61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RTC (</w:t>
      </w:r>
      <w:r w:rsidRPr="00BE39E6">
        <w:rPr>
          <w:rFonts w:asciiTheme="majorHAnsi" w:hAnsiTheme="majorHAnsi"/>
          <w:i/>
        </w:rPr>
        <w:t xml:space="preserve">Real Time </w:t>
      </w:r>
      <w:proofErr w:type="spellStart"/>
      <w:r w:rsidRPr="00BE39E6">
        <w:rPr>
          <w:rFonts w:asciiTheme="majorHAnsi" w:hAnsiTheme="majorHAnsi"/>
          <w:i/>
        </w:rPr>
        <w:t>Clock</w:t>
      </w:r>
      <w:proofErr w:type="spellEnd"/>
      <w:r w:rsidRPr="00BE39E6">
        <w:rPr>
          <w:rFonts w:asciiTheme="majorHAnsi" w:hAnsiTheme="majorHAnsi"/>
        </w:rPr>
        <w:t>) – układ niezależnego zegara czasu rzeczywistego z własnym podtrzym</w:t>
      </w:r>
      <w:r w:rsidRPr="00BE39E6">
        <w:rPr>
          <w:rFonts w:asciiTheme="majorHAnsi" w:hAnsiTheme="majorHAnsi"/>
        </w:rPr>
        <w:t>a</w:t>
      </w:r>
      <w:r w:rsidRPr="00BE39E6">
        <w:rPr>
          <w:rFonts w:asciiTheme="majorHAnsi" w:hAnsiTheme="majorHAnsi"/>
        </w:rPr>
        <w:t>niem zasilania, o uchybie nie większym, niż:</w:t>
      </w:r>
    </w:p>
    <w:p w14:paraId="19B2D0CE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0,5 sekundy na dobę, w temperaturze otoczenia 23°C,</w:t>
      </w:r>
    </w:p>
    <w:p w14:paraId="7C0120F6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1 sekunda na dobę w wymaganym zakresie temperaturowym pracy urządzenia.</w:t>
      </w:r>
    </w:p>
    <w:p w14:paraId="525A6B10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proofErr w:type="spellStart"/>
      <w:r w:rsidRPr="00BE39E6">
        <w:rPr>
          <w:rFonts w:asciiTheme="majorHAnsi" w:hAnsiTheme="majorHAnsi"/>
        </w:rPr>
        <w:t>Watchdog</w:t>
      </w:r>
      <w:proofErr w:type="spellEnd"/>
      <w:r w:rsidRPr="00BE39E6">
        <w:rPr>
          <w:rFonts w:asciiTheme="majorHAnsi" w:hAnsiTheme="majorHAnsi"/>
        </w:rPr>
        <w:t xml:space="preserve"> – niezależny układ restartowania urządzenia w przypadku jego zawieszenia,</w:t>
      </w:r>
    </w:p>
    <w:p w14:paraId="71CA1BA7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Procesor RSA – układ wsparcia operacji kryptograficznych realizowanych w urządzeniu, służ</w:t>
      </w:r>
      <w:r w:rsidRPr="00BE39E6">
        <w:rPr>
          <w:rFonts w:asciiTheme="majorHAnsi" w:hAnsiTheme="majorHAnsi"/>
        </w:rPr>
        <w:t>ą</w:t>
      </w:r>
      <w:r w:rsidRPr="00BE39E6">
        <w:rPr>
          <w:rFonts w:asciiTheme="majorHAnsi" w:hAnsiTheme="majorHAnsi"/>
        </w:rPr>
        <w:t>cy do generacji kluczy tajnych oraz przechowujący pary kluczy wykorzystywanych w krypt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grafii asymetrycznej do uwierzytelnienia koncentratora wobec systemu centralnego i do uwi</w:t>
      </w:r>
      <w:r w:rsidRPr="00BE39E6">
        <w:rPr>
          <w:rFonts w:asciiTheme="majorHAnsi" w:hAnsiTheme="majorHAnsi"/>
        </w:rPr>
        <w:t>e</w:t>
      </w:r>
      <w:r w:rsidRPr="00BE39E6">
        <w:rPr>
          <w:rFonts w:asciiTheme="majorHAnsi" w:hAnsiTheme="majorHAnsi"/>
        </w:rPr>
        <w:t xml:space="preserve">rzytelnienia koncentratora wobec liczników, </w:t>
      </w:r>
    </w:p>
    <w:p w14:paraId="7193C383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AFE (Analog Front End) – sprzęg analogowy procesora z linią energetyczną do przekazywania sygnałów PLC w paśmie CENELEC A (35 kHz to 91 kHz):</w:t>
      </w:r>
    </w:p>
    <w:p w14:paraId="4CC05D85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Układ AFE może być podłączony do procesora głównego za pomocą przetworników analogowo-cyfrowych i cyfrowo-analogowych typu SAR (</w:t>
      </w:r>
      <w:proofErr w:type="spellStart"/>
      <w:r w:rsidRPr="00BE39E6">
        <w:rPr>
          <w:rFonts w:asciiTheme="majorHAnsi" w:hAnsiTheme="majorHAnsi"/>
          <w:i/>
        </w:rPr>
        <w:t>Successive</w:t>
      </w:r>
      <w:proofErr w:type="spellEnd"/>
      <w:r w:rsidRPr="00BE39E6">
        <w:rPr>
          <w:rFonts w:asciiTheme="majorHAnsi" w:hAnsiTheme="majorHAnsi"/>
          <w:i/>
        </w:rPr>
        <w:t xml:space="preserve"> </w:t>
      </w:r>
      <w:proofErr w:type="spellStart"/>
      <w:r w:rsidRPr="00BE39E6">
        <w:rPr>
          <w:rFonts w:asciiTheme="majorHAnsi" w:hAnsiTheme="majorHAnsi"/>
          <w:i/>
        </w:rPr>
        <w:t>Approximation</w:t>
      </w:r>
      <w:proofErr w:type="spellEnd"/>
      <w:r w:rsidRPr="00BE39E6">
        <w:rPr>
          <w:rFonts w:asciiTheme="majorHAnsi" w:hAnsiTheme="majorHAnsi"/>
          <w:i/>
        </w:rPr>
        <w:t xml:space="preserve"> Register</w:t>
      </w:r>
      <w:r w:rsidRPr="00BE39E6">
        <w:rPr>
          <w:rFonts w:asciiTheme="majorHAnsi" w:hAnsiTheme="majorHAnsi"/>
        </w:rPr>
        <w:t>) o rozdzielczości minimum 12 bitów lub za pomocą interfejsu cyfrowego np. SPI,</w:t>
      </w:r>
    </w:p>
    <w:p w14:paraId="0AD08492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Sygnał w paśmie CENELEC A powinien być próbkowany przez procesor lub AFE z prędkością 250 kHz lub 400 kHz w celu umożliwienia implementacji między innymi obsługi standardów komunikacji PLC PRIME oraz G3-PLC,</w:t>
      </w:r>
    </w:p>
    <w:p w14:paraId="7C7A92ED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Układ AFE powinien być wyposażony w filtr pasmowo przepustowy dla pasma C</w:t>
      </w:r>
      <w:r w:rsidRPr="00BE39E6">
        <w:rPr>
          <w:rFonts w:asciiTheme="majorHAnsi" w:hAnsiTheme="majorHAnsi"/>
        </w:rPr>
        <w:t>E</w:t>
      </w:r>
      <w:r w:rsidRPr="00BE39E6">
        <w:rPr>
          <w:rFonts w:asciiTheme="majorHAnsi" w:hAnsiTheme="majorHAnsi"/>
        </w:rPr>
        <w:t>NELEC A oraz programowany wzmacniacz umożliwiający dostosowanie poziomu sygnału wejściowego do rozdzielczości i zakresu napięcia wejściowego przetworn</w:t>
      </w:r>
      <w:r w:rsidRPr="00BE39E6">
        <w:rPr>
          <w:rFonts w:asciiTheme="majorHAnsi" w:hAnsiTheme="majorHAnsi"/>
        </w:rPr>
        <w:t>i</w:t>
      </w:r>
      <w:r w:rsidRPr="00BE39E6">
        <w:rPr>
          <w:rFonts w:asciiTheme="majorHAnsi" w:hAnsiTheme="majorHAnsi"/>
        </w:rPr>
        <w:t>ka.</w:t>
      </w:r>
    </w:p>
    <w:p w14:paraId="05638FA7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Układ AFE powinien posiadać wydajność </w:t>
      </w:r>
      <w:proofErr w:type="gramStart"/>
      <w:r w:rsidRPr="00BE39E6">
        <w:rPr>
          <w:rFonts w:asciiTheme="majorHAnsi" w:hAnsiTheme="majorHAnsi"/>
        </w:rPr>
        <w:t>prądową co</w:t>
      </w:r>
      <w:proofErr w:type="gramEnd"/>
      <w:r w:rsidRPr="00BE39E6">
        <w:rPr>
          <w:rFonts w:asciiTheme="majorHAnsi" w:hAnsiTheme="majorHAnsi"/>
        </w:rPr>
        <w:t xml:space="preserve"> najmniej 1,5 A, która musi p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zwolić na zapewnienie obsługi komunikacji w standardach PRIME oraz G3-PLC.</w:t>
      </w:r>
    </w:p>
    <w:p w14:paraId="578AAF64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Sprzęg AFE z linią energetyczną powinien umożliwiać odbiór oraz nadawanie s</w:t>
      </w:r>
      <w:r w:rsidRPr="00BE39E6">
        <w:rPr>
          <w:rFonts w:asciiTheme="majorHAnsi" w:hAnsiTheme="majorHAnsi"/>
        </w:rPr>
        <w:t>y</w:t>
      </w:r>
      <w:r w:rsidRPr="00BE39E6">
        <w:rPr>
          <w:rFonts w:asciiTheme="majorHAnsi" w:hAnsiTheme="majorHAnsi"/>
        </w:rPr>
        <w:t>gnałów za pośrednictwem 3 faz,</w:t>
      </w:r>
    </w:p>
    <w:p w14:paraId="7E77723B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Układ AFE powinien spełniać wymagania testów EMC (</w:t>
      </w:r>
      <w:proofErr w:type="spellStart"/>
      <w:r w:rsidRPr="00BE39E6">
        <w:rPr>
          <w:rFonts w:asciiTheme="majorHAnsi" w:hAnsiTheme="majorHAnsi"/>
          <w:i/>
        </w:rPr>
        <w:t>Electromagnetic</w:t>
      </w:r>
      <w:proofErr w:type="spellEnd"/>
      <w:r w:rsidRPr="00BE39E6">
        <w:rPr>
          <w:rFonts w:asciiTheme="majorHAnsi" w:hAnsiTheme="majorHAnsi"/>
          <w:i/>
        </w:rPr>
        <w:t xml:space="preserve"> </w:t>
      </w:r>
      <w:proofErr w:type="spellStart"/>
      <w:r w:rsidRPr="00BE39E6">
        <w:rPr>
          <w:rFonts w:asciiTheme="majorHAnsi" w:hAnsiTheme="majorHAnsi"/>
          <w:i/>
        </w:rPr>
        <w:t>compatibil</w:t>
      </w:r>
      <w:r w:rsidRPr="00BE39E6">
        <w:rPr>
          <w:rFonts w:asciiTheme="majorHAnsi" w:hAnsiTheme="majorHAnsi"/>
          <w:i/>
        </w:rPr>
        <w:t>i</w:t>
      </w:r>
      <w:r w:rsidRPr="00BE39E6">
        <w:rPr>
          <w:rFonts w:asciiTheme="majorHAnsi" w:hAnsiTheme="majorHAnsi"/>
          <w:i/>
        </w:rPr>
        <w:t>ty</w:t>
      </w:r>
      <w:proofErr w:type="spellEnd"/>
      <w:r w:rsidRPr="00BE39E6">
        <w:rPr>
          <w:rFonts w:asciiTheme="majorHAnsi" w:hAnsiTheme="majorHAnsi"/>
        </w:rPr>
        <w:t xml:space="preserve">) na zgodność z normami: </w:t>
      </w:r>
    </w:p>
    <w:p w14:paraId="476638A5" w14:textId="77777777" w:rsidR="00BE39E6" w:rsidRPr="00BE39E6" w:rsidRDefault="00BE39E6" w:rsidP="003F2AA5">
      <w:pPr>
        <w:pStyle w:val="Akapitzlist"/>
        <w:numPr>
          <w:ilvl w:val="0"/>
          <w:numId w:val="147"/>
        </w:numPr>
        <w:spacing w:after="60" w:line="259" w:lineRule="auto"/>
        <w:ind w:left="3119" w:hanging="284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EN 50065-1,</w:t>
      </w:r>
    </w:p>
    <w:p w14:paraId="3797EB7B" w14:textId="77777777" w:rsidR="00BE39E6" w:rsidRPr="00BE39E6" w:rsidRDefault="00BE39E6" w:rsidP="003F2AA5">
      <w:pPr>
        <w:pStyle w:val="Akapitzlist"/>
        <w:numPr>
          <w:ilvl w:val="0"/>
          <w:numId w:val="147"/>
        </w:numPr>
        <w:spacing w:after="60" w:line="259" w:lineRule="auto"/>
        <w:ind w:left="3119" w:hanging="284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EN 50065-2-3,</w:t>
      </w:r>
    </w:p>
    <w:p w14:paraId="5A31A9D8" w14:textId="77777777" w:rsidR="00BE39E6" w:rsidRPr="00BE39E6" w:rsidRDefault="00BE39E6" w:rsidP="003F2AA5">
      <w:pPr>
        <w:pStyle w:val="Akapitzlist"/>
        <w:numPr>
          <w:ilvl w:val="0"/>
          <w:numId w:val="147"/>
        </w:numPr>
        <w:spacing w:after="60" w:line="259" w:lineRule="auto"/>
        <w:ind w:left="3119" w:hanging="284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EN 50065-7,</w:t>
      </w:r>
    </w:p>
    <w:p w14:paraId="3E4DAD58" w14:textId="77777777" w:rsidR="00BE39E6" w:rsidRPr="00BE39E6" w:rsidRDefault="00BE39E6" w:rsidP="003F2AA5">
      <w:pPr>
        <w:spacing w:after="60"/>
        <w:ind w:left="2835"/>
        <w:jc w:val="both"/>
        <w:rPr>
          <w:rFonts w:asciiTheme="majorHAnsi" w:hAnsiTheme="majorHAnsi"/>
        </w:rPr>
      </w:pPr>
      <w:proofErr w:type="gramStart"/>
      <w:r w:rsidRPr="00BE39E6">
        <w:rPr>
          <w:rFonts w:asciiTheme="majorHAnsi" w:hAnsiTheme="majorHAnsi"/>
        </w:rPr>
        <w:t>stanowiących</w:t>
      </w:r>
      <w:proofErr w:type="gramEnd"/>
      <w:r w:rsidRPr="00BE39E6">
        <w:rPr>
          <w:rFonts w:asciiTheme="majorHAnsi" w:hAnsiTheme="majorHAnsi"/>
        </w:rPr>
        <w:t xml:space="preserve"> element procesu certyfikacji na zgodność z PRIME oraz G3-PLC,</w:t>
      </w:r>
    </w:p>
    <w:p w14:paraId="44FFD5B2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Przykład realizacji AFE, potwierdzony certyfikacją, można znaleźć po linkiem: </w:t>
      </w:r>
      <w:hyperlink r:id="rId11" w:history="1">
        <w:r w:rsidRPr="00BE39E6">
          <w:rPr>
            <w:rStyle w:val="Hipercze"/>
            <w:rFonts w:asciiTheme="majorHAnsi" w:hAnsiTheme="majorHAnsi"/>
          </w:rPr>
          <w:t>http://www.ti.com/lit/an/sboa130a/sboa130a.pdf</w:t>
        </w:r>
      </w:hyperlink>
    </w:p>
    <w:p w14:paraId="25B5E781" w14:textId="77777777" w:rsidR="00BE39E6" w:rsidRPr="00BE39E6" w:rsidRDefault="00BE39E6" w:rsidP="003F2AA5">
      <w:pPr>
        <w:pStyle w:val="Akapitzlist"/>
        <w:numPr>
          <w:ilvl w:val="3"/>
          <w:numId w:val="146"/>
        </w:numPr>
        <w:spacing w:after="60" w:line="259" w:lineRule="auto"/>
        <w:ind w:left="2835" w:hanging="992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ΣΔ (przetworniki sigma – delta) – 7 przetworników o rozdzielczości efektywnej 15 bitów i minimalnej częstości próbkowania 48 KSPS (</w:t>
      </w:r>
      <w:r w:rsidRPr="00BE39E6">
        <w:rPr>
          <w:rFonts w:asciiTheme="majorHAnsi" w:hAnsiTheme="majorHAnsi"/>
          <w:i/>
        </w:rPr>
        <w:t xml:space="preserve">Kilo </w:t>
      </w:r>
      <w:proofErr w:type="spellStart"/>
      <w:r w:rsidRPr="00BE39E6">
        <w:rPr>
          <w:rFonts w:asciiTheme="majorHAnsi" w:hAnsiTheme="majorHAnsi"/>
          <w:i/>
        </w:rPr>
        <w:t>Samples</w:t>
      </w:r>
      <w:proofErr w:type="spellEnd"/>
      <w:r w:rsidRPr="00BE39E6">
        <w:rPr>
          <w:rFonts w:asciiTheme="majorHAnsi" w:hAnsiTheme="majorHAnsi"/>
          <w:i/>
        </w:rPr>
        <w:t xml:space="preserve"> per Second</w:t>
      </w:r>
      <w:r w:rsidRPr="00BE39E6">
        <w:rPr>
          <w:rFonts w:asciiTheme="majorHAnsi" w:hAnsiTheme="majorHAnsi"/>
        </w:rPr>
        <w:t>), służ</w:t>
      </w:r>
      <w:r w:rsidRPr="00BE39E6">
        <w:rPr>
          <w:rFonts w:asciiTheme="majorHAnsi" w:hAnsiTheme="majorHAnsi"/>
        </w:rPr>
        <w:t>ą</w:t>
      </w:r>
      <w:r w:rsidRPr="00BE39E6">
        <w:rPr>
          <w:rFonts w:asciiTheme="majorHAnsi" w:hAnsiTheme="majorHAnsi"/>
        </w:rPr>
        <w:t>ce do realizacji pomiaru parametrów energii (po dwa przetworniki na każdą fazę oraz jeden na przewód neutralny),</w:t>
      </w:r>
    </w:p>
    <w:p w14:paraId="4E7F1189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Platforma sprzętowa musi pozwolić na uruchomienie na niej oprogramowania, które będzie realizowało:</w:t>
      </w:r>
    </w:p>
    <w:p w14:paraId="7BD08E28" w14:textId="73DF2DDD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Funkcje koncentratora oraz licznika bilansującego (realizowane łącznie), opisane w załączniku A.</w:t>
      </w:r>
    </w:p>
    <w:p w14:paraId="0AEA8920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Obsługę komunikacji PLC OFDM realizowanej w paśmie CENELEC A, takich jak np. PRIME lub G3-PLC, w tym obsługę warstwy fizycznej poprzez przetwarzanie sygnałów cyfrowych poz</w:t>
      </w:r>
      <w:r w:rsidRPr="00BE39E6">
        <w:rPr>
          <w:rFonts w:asciiTheme="majorHAnsi" w:hAnsiTheme="majorHAnsi"/>
        </w:rPr>
        <w:t>y</w:t>
      </w:r>
      <w:r w:rsidRPr="00BE39E6">
        <w:rPr>
          <w:rFonts w:asciiTheme="majorHAnsi" w:hAnsiTheme="majorHAnsi"/>
        </w:rPr>
        <w:t>skiwanych za pomocą AFE.</w:t>
      </w:r>
    </w:p>
    <w:p w14:paraId="629B3603" w14:textId="1952B603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Funkcje komunikacji z systemem aplikacyjnym AMI za pomocą protokołu DCSAP.</w:t>
      </w:r>
    </w:p>
    <w:p w14:paraId="7774036D" w14:textId="77777777" w:rsidR="00BE39E6" w:rsidRDefault="00BE39E6" w:rsidP="003F2AA5">
      <w:pPr>
        <w:spacing w:after="60"/>
        <w:jc w:val="both"/>
        <w:rPr>
          <w:rFonts w:asciiTheme="majorHAnsi" w:hAnsiTheme="majorHAnsi"/>
        </w:rPr>
      </w:pPr>
    </w:p>
    <w:p w14:paraId="38B473D8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Obudowa i elementy mechaniczne</w:t>
      </w:r>
    </w:p>
    <w:p w14:paraId="7DCCFA0F" w14:textId="23327A78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Obudowa urządzenia oraz właściwości mechaniczne urządzenia muszą być zgodne z odpowiednimi w</w:t>
      </w:r>
      <w:r w:rsidRPr="00BE39E6">
        <w:rPr>
          <w:rFonts w:asciiTheme="majorHAnsi" w:hAnsiTheme="majorHAnsi"/>
        </w:rPr>
        <w:t>y</w:t>
      </w:r>
      <w:r w:rsidRPr="00BE39E6">
        <w:rPr>
          <w:rFonts w:asciiTheme="majorHAnsi" w:hAnsiTheme="majorHAnsi"/>
        </w:rPr>
        <w:t xml:space="preserve">maganiami opisanymi w </w:t>
      </w:r>
      <w:r>
        <w:rPr>
          <w:rFonts w:asciiTheme="majorHAnsi" w:hAnsiTheme="majorHAnsi"/>
        </w:rPr>
        <w:t>załączniku</w:t>
      </w:r>
      <w:r w:rsidRPr="00BE39E6">
        <w:rPr>
          <w:rFonts w:asciiTheme="majorHAnsi" w:hAnsiTheme="majorHAnsi"/>
        </w:rPr>
        <w:t xml:space="preserve"> C.</w:t>
      </w:r>
    </w:p>
    <w:p w14:paraId="3BA2146D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Urządzenie powinno być wyposażone w czujnik otwarcia obudowy oraz plombę pozwalającą na stwie</w:t>
      </w:r>
      <w:r w:rsidRPr="00BE39E6">
        <w:rPr>
          <w:rFonts w:asciiTheme="majorHAnsi" w:hAnsiTheme="majorHAnsi"/>
        </w:rPr>
        <w:t>r</w:t>
      </w:r>
      <w:r w:rsidRPr="00BE39E6">
        <w:rPr>
          <w:rFonts w:asciiTheme="majorHAnsi" w:hAnsiTheme="majorHAnsi"/>
        </w:rPr>
        <w:t>dzenie faktu otwierania urządzenia.</w:t>
      </w:r>
    </w:p>
    <w:p w14:paraId="53F6608E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Urządzenie nie może być wyposażone w żadne aktywne elementy chłodzące.</w:t>
      </w:r>
    </w:p>
    <w:p w14:paraId="2DE301F3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Wraz z projektem urządzenia powinna zostać dostarczona kompletna dokumentacja (w tym projekt ob</w:t>
      </w:r>
      <w:r w:rsidRPr="00BE39E6">
        <w:rPr>
          <w:rFonts w:asciiTheme="majorHAnsi" w:hAnsiTheme="majorHAnsi"/>
        </w:rPr>
        <w:t>u</w:t>
      </w:r>
      <w:r w:rsidRPr="00BE39E6">
        <w:rPr>
          <w:rFonts w:asciiTheme="majorHAnsi" w:hAnsiTheme="majorHAnsi"/>
        </w:rPr>
        <w:t>dowy urządzenia) umożliwiająca realizację form wtryskowych obudowy oraz jej wielkoseryjną produ</w:t>
      </w:r>
      <w:r w:rsidRPr="00BE39E6">
        <w:rPr>
          <w:rFonts w:asciiTheme="majorHAnsi" w:hAnsiTheme="majorHAnsi"/>
        </w:rPr>
        <w:t>k</w:t>
      </w:r>
      <w:r w:rsidRPr="00BE39E6">
        <w:rPr>
          <w:rFonts w:asciiTheme="majorHAnsi" w:hAnsiTheme="majorHAnsi"/>
        </w:rPr>
        <w:t>cję.</w:t>
      </w:r>
    </w:p>
    <w:p w14:paraId="78CEA35C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Wraz z projektem urządzenia powinna zostać dostarczona kompletna dokumentacja elementów metal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wych (styków, wyprasek, itp.) pozwalająca na wielkoseryjną produkcję urządzeń.</w:t>
      </w:r>
    </w:p>
    <w:p w14:paraId="2A5E09B1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Wraz z projektem urządzenia powinny zostać dostarczone wstępne wyceny realizacji form wtryskowych, elementów metalowych wymaganych dla produkcji oraz montażu urządzeń.</w:t>
      </w:r>
    </w:p>
    <w:p w14:paraId="74A69C25" w14:textId="77777777" w:rsidR="00BE39E6" w:rsidRPr="00BE39E6" w:rsidRDefault="00BE39E6" w:rsidP="003F2AA5">
      <w:pPr>
        <w:spacing w:after="60"/>
        <w:ind w:left="360"/>
        <w:jc w:val="both"/>
        <w:rPr>
          <w:rFonts w:asciiTheme="majorHAnsi" w:hAnsiTheme="majorHAnsi"/>
        </w:rPr>
      </w:pPr>
    </w:p>
    <w:p w14:paraId="36C13745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Projekt elektryczny urządzenia</w:t>
      </w:r>
    </w:p>
    <w:p w14:paraId="2D722769" w14:textId="72BFE03B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Urządzenie powinno spełniać wymagania opisane w załączniku </w:t>
      </w:r>
      <w:r>
        <w:rPr>
          <w:rFonts w:asciiTheme="majorHAnsi" w:hAnsiTheme="majorHAnsi"/>
        </w:rPr>
        <w:t>A</w:t>
      </w:r>
      <w:r w:rsidRPr="00BE39E6">
        <w:rPr>
          <w:rFonts w:asciiTheme="majorHAnsi" w:hAnsiTheme="majorHAnsi"/>
        </w:rPr>
        <w:t>, w szczególności dotyczące:</w:t>
      </w:r>
    </w:p>
    <w:p w14:paraId="0F5EBCB7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Zasilacza, zasilanego napięciem przemiennym oraz stałym.</w:t>
      </w:r>
    </w:p>
    <w:p w14:paraId="407A7C97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Poboru mocy.</w:t>
      </w:r>
    </w:p>
    <w:p w14:paraId="360A8AF7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Odporności na przepięcia sieciowe oraz atmosferyczne.</w:t>
      </w:r>
    </w:p>
    <w:p w14:paraId="4D8204F7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Elementy elektroniczne urządzenia powinny zostać </w:t>
      </w:r>
      <w:proofErr w:type="gramStart"/>
      <w:r w:rsidRPr="00BE39E6">
        <w:rPr>
          <w:rFonts w:asciiTheme="majorHAnsi" w:hAnsiTheme="majorHAnsi"/>
        </w:rPr>
        <w:t>rozlokowane na co</w:t>
      </w:r>
      <w:proofErr w:type="gramEnd"/>
      <w:r w:rsidRPr="00BE39E6">
        <w:rPr>
          <w:rFonts w:asciiTheme="majorHAnsi" w:hAnsiTheme="majorHAnsi"/>
        </w:rPr>
        <w:t xml:space="preserve"> najwyżej 3 płytkach drukow</w:t>
      </w:r>
      <w:r w:rsidRPr="00BE39E6">
        <w:rPr>
          <w:rFonts w:asciiTheme="majorHAnsi" w:hAnsiTheme="majorHAnsi"/>
        </w:rPr>
        <w:t>a</w:t>
      </w:r>
      <w:r w:rsidRPr="00BE39E6">
        <w:rPr>
          <w:rFonts w:asciiTheme="majorHAnsi" w:hAnsiTheme="majorHAnsi"/>
        </w:rPr>
        <w:t>nych.</w:t>
      </w:r>
    </w:p>
    <w:p w14:paraId="10054C67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Przetworniki ΣΔ powinny umożliwić realizację urządzenia pomiarowego energii elektrycznej w klasie d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kładności C dla pełnego zakresu temperatury pracy urządzenia.</w:t>
      </w:r>
    </w:p>
    <w:p w14:paraId="3650C8A3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 ramach projektu powinny zostać dostarczone kompletne schematy urządzenia, w tym schematy poł</w:t>
      </w:r>
      <w:r w:rsidRPr="00BE39E6">
        <w:rPr>
          <w:rFonts w:asciiTheme="majorHAnsi" w:hAnsiTheme="majorHAnsi"/>
        </w:rPr>
        <w:t>ą</w:t>
      </w:r>
      <w:r w:rsidRPr="00BE39E6">
        <w:rPr>
          <w:rFonts w:asciiTheme="majorHAnsi" w:hAnsiTheme="majorHAnsi"/>
        </w:rPr>
        <w:t>czeń elementów i schematy logiczne.</w:t>
      </w:r>
    </w:p>
    <w:p w14:paraId="542DD80D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Wraz z projektem urządzenia powinna zostać dostarczona pełna dokumentacja umożliwiająca realizację płytek drukowanych oraz montaż elementów elektronicznych.</w:t>
      </w:r>
    </w:p>
    <w:p w14:paraId="7DC64575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Dokumentacja powinna pozwolić na sporządzenie wycen dla produkcji płytek drukowanych i montażu elementów elektronicznych oraz oszacowanie kosztów produkcji wielkoseryjnej.</w:t>
      </w:r>
    </w:p>
    <w:p w14:paraId="3A63986F" w14:textId="77777777" w:rsidR="00BE39E6" w:rsidRDefault="00BE39E6" w:rsidP="003F2AA5">
      <w:pPr>
        <w:spacing w:after="60"/>
        <w:rPr>
          <w:rFonts w:asciiTheme="majorHAnsi" w:hAnsiTheme="majorHAnsi"/>
          <w:b/>
          <w:sz w:val="24"/>
          <w:szCs w:val="24"/>
        </w:rPr>
      </w:pPr>
    </w:p>
    <w:p w14:paraId="19DBA8C7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Czas eksploatacji i warunki pracy urządzenia</w:t>
      </w:r>
    </w:p>
    <w:p w14:paraId="1AE69497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Minimalny czas produkcyjnej eksploatacji urządzenia wynosi 10 lat. Wszystkie komponenty pracy urz</w:t>
      </w:r>
      <w:r w:rsidRPr="00BE39E6">
        <w:rPr>
          <w:rFonts w:asciiTheme="majorHAnsi" w:hAnsiTheme="majorHAnsi"/>
        </w:rPr>
        <w:t>ą</w:t>
      </w:r>
      <w:r w:rsidRPr="00BE39E6">
        <w:rPr>
          <w:rFonts w:asciiTheme="majorHAnsi" w:hAnsiTheme="majorHAnsi"/>
        </w:rPr>
        <w:t>dzenia powinny zostać dobrane w sposób pozwalający na zagwarantowanie spełnienia tego wymagania.</w:t>
      </w:r>
    </w:p>
    <w:p w14:paraId="1ADF2479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 produkcji urządzenia mogą być wykorzystane wyłączenie elementy o rekomendowanym czasie pr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dukcji: minimum 3 lata, licząc od dnia przekazania projektu urządzenia.</w:t>
      </w:r>
    </w:p>
    <w:p w14:paraId="7D86F199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Urządzenie musi być dostosowane do pracy ciągłej, od jego zainstalowania do demontażu.</w:t>
      </w:r>
    </w:p>
    <w:p w14:paraId="3CEF6AE6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Urządzenia będą instalowane na stacjach SN/</w:t>
      </w:r>
      <w:proofErr w:type="spellStart"/>
      <w:r w:rsidRPr="00BE39E6">
        <w:rPr>
          <w:rFonts w:asciiTheme="majorHAnsi" w:hAnsiTheme="majorHAnsi"/>
        </w:rPr>
        <w:t>nN.</w:t>
      </w:r>
      <w:proofErr w:type="spellEnd"/>
    </w:p>
    <w:p w14:paraId="47E4DE2F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Średni czas bezawaryjnej pracy MTBF (</w:t>
      </w:r>
      <w:proofErr w:type="spellStart"/>
      <w:r w:rsidRPr="00BE39E6">
        <w:rPr>
          <w:rFonts w:asciiTheme="majorHAnsi" w:hAnsiTheme="majorHAnsi"/>
          <w:i/>
        </w:rPr>
        <w:t>Mean</w:t>
      </w:r>
      <w:proofErr w:type="spellEnd"/>
      <w:r w:rsidRPr="00BE39E6">
        <w:rPr>
          <w:rFonts w:asciiTheme="majorHAnsi" w:hAnsiTheme="majorHAnsi"/>
          <w:i/>
        </w:rPr>
        <w:t xml:space="preserve"> Time </w:t>
      </w:r>
      <w:proofErr w:type="spellStart"/>
      <w:r w:rsidRPr="00BE39E6">
        <w:rPr>
          <w:rFonts w:asciiTheme="majorHAnsi" w:hAnsiTheme="majorHAnsi"/>
          <w:i/>
        </w:rPr>
        <w:t>Between</w:t>
      </w:r>
      <w:proofErr w:type="spellEnd"/>
      <w:r w:rsidRPr="00BE39E6">
        <w:rPr>
          <w:rFonts w:asciiTheme="majorHAnsi" w:hAnsiTheme="majorHAnsi"/>
          <w:i/>
        </w:rPr>
        <w:t xml:space="preserve"> </w:t>
      </w:r>
      <w:proofErr w:type="spellStart"/>
      <w:r w:rsidRPr="00BE39E6">
        <w:rPr>
          <w:rFonts w:asciiTheme="majorHAnsi" w:hAnsiTheme="majorHAnsi"/>
          <w:i/>
        </w:rPr>
        <w:t>Failures</w:t>
      </w:r>
      <w:proofErr w:type="spellEnd"/>
      <w:r w:rsidRPr="00BE39E6">
        <w:rPr>
          <w:rFonts w:asciiTheme="majorHAnsi" w:hAnsiTheme="majorHAnsi"/>
        </w:rPr>
        <w:t>), powinien wynosić minimum 600 000 godzin (prawdopodobieństwo awarii w ciągu jednego roku wynosi 1,5%).</w:t>
      </w:r>
    </w:p>
    <w:p w14:paraId="322C88BE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Urządzenie powinno poprawnie pracować w zakresie temperatur od -30 </w:t>
      </w:r>
      <w:proofErr w:type="spellStart"/>
      <w:r w:rsidRPr="00BE39E6">
        <w:rPr>
          <w:rFonts w:asciiTheme="majorHAnsi" w:hAnsiTheme="majorHAnsi"/>
          <w:vertAlign w:val="superscript"/>
        </w:rPr>
        <w:t>o</w:t>
      </w:r>
      <w:r w:rsidRPr="00BE39E6">
        <w:rPr>
          <w:rFonts w:asciiTheme="majorHAnsi" w:hAnsiTheme="majorHAnsi"/>
        </w:rPr>
        <w:t>C</w:t>
      </w:r>
      <w:proofErr w:type="spellEnd"/>
      <w:r w:rsidRPr="00BE39E6">
        <w:rPr>
          <w:rFonts w:asciiTheme="majorHAnsi" w:hAnsiTheme="majorHAnsi"/>
        </w:rPr>
        <w:t xml:space="preserve"> do +70 </w:t>
      </w:r>
      <w:proofErr w:type="spellStart"/>
      <w:r w:rsidRPr="00BE39E6">
        <w:rPr>
          <w:rFonts w:asciiTheme="majorHAnsi" w:hAnsiTheme="majorHAnsi"/>
          <w:vertAlign w:val="superscript"/>
        </w:rPr>
        <w:t>o</w:t>
      </w:r>
      <w:r w:rsidRPr="00BE39E6">
        <w:rPr>
          <w:rFonts w:asciiTheme="majorHAnsi" w:hAnsiTheme="majorHAnsi"/>
        </w:rPr>
        <w:t>C.</w:t>
      </w:r>
      <w:proofErr w:type="spellEnd"/>
    </w:p>
    <w:p w14:paraId="7186A86D" w14:textId="77777777" w:rsidR="00BE39E6" w:rsidRPr="00BE39E6" w:rsidRDefault="00BE39E6" w:rsidP="003F2AA5">
      <w:pPr>
        <w:spacing w:after="60"/>
        <w:ind w:left="277"/>
        <w:jc w:val="both"/>
        <w:rPr>
          <w:rFonts w:asciiTheme="majorHAnsi" w:hAnsiTheme="majorHAnsi"/>
        </w:rPr>
      </w:pPr>
    </w:p>
    <w:p w14:paraId="55F861C5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Wybrane cechy konstrukcyjne oraz oznaczenia urządzenia</w:t>
      </w:r>
    </w:p>
    <w:p w14:paraId="34CBAC4B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Każde urządzenie powinno posiadać unikalny numer seryjny, bazujący na identyfikatorze wybranych komponentów sprzętowych np. numerze seryjnym procesora.</w:t>
      </w:r>
    </w:p>
    <w:p w14:paraId="049D780A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Algorytm generacji numeru seryjnego na podstawie identyfikatorów komponentów sprzętowych pow</w:t>
      </w:r>
      <w:r w:rsidRPr="00BE39E6">
        <w:rPr>
          <w:rFonts w:asciiTheme="majorHAnsi" w:hAnsiTheme="majorHAnsi"/>
        </w:rPr>
        <w:t>i</w:t>
      </w:r>
      <w:r w:rsidRPr="00BE39E6">
        <w:rPr>
          <w:rFonts w:asciiTheme="majorHAnsi" w:hAnsiTheme="majorHAnsi"/>
        </w:rPr>
        <w:t>nien zostać przekazany w ramach projektu.</w:t>
      </w:r>
    </w:p>
    <w:p w14:paraId="2812D35A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Na obudowie urządzenia powinna znajdować się naklejka z numerem seryjnym urządzenia, zgodna k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 xml:space="preserve">dem kreskowym w standardzie </w:t>
      </w:r>
      <w:proofErr w:type="spellStart"/>
      <w:r w:rsidRPr="00BE39E6">
        <w:rPr>
          <w:rFonts w:asciiTheme="majorHAnsi" w:hAnsiTheme="majorHAnsi"/>
        </w:rPr>
        <w:t>Interleaved</w:t>
      </w:r>
      <w:proofErr w:type="spellEnd"/>
      <w:r w:rsidRPr="00BE39E6">
        <w:rPr>
          <w:rFonts w:asciiTheme="majorHAnsi" w:hAnsiTheme="majorHAnsi"/>
        </w:rPr>
        <w:t xml:space="preserve"> 2 of 5 oraz standardzie RFID. Kod musi być możliwy do o</w:t>
      </w:r>
      <w:r w:rsidRPr="00BE39E6">
        <w:rPr>
          <w:rFonts w:asciiTheme="majorHAnsi" w:hAnsiTheme="majorHAnsi"/>
        </w:rPr>
        <w:t>d</w:t>
      </w:r>
      <w:r w:rsidRPr="00BE39E6">
        <w:rPr>
          <w:rFonts w:asciiTheme="majorHAnsi" w:hAnsiTheme="majorHAnsi"/>
        </w:rPr>
        <w:t>czytania po zainstalowaniu urządzenia w docelowej lokalizacji.</w:t>
      </w:r>
    </w:p>
    <w:p w14:paraId="7542F49D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Obwody drukowane urządzenia muszą być zabezpieczone powłoką lakierniczą.</w:t>
      </w:r>
    </w:p>
    <w:p w14:paraId="24AF31D5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Montaż elementów elektronicznych powinien być zrealizowany za pomocą lutowania bezołowiowego, zgodnie z dyrektywą </w:t>
      </w:r>
      <w:proofErr w:type="spellStart"/>
      <w:r w:rsidRPr="00BE39E6">
        <w:rPr>
          <w:rFonts w:asciiTheme="majorHAnsi" w:hAnsiTheme="majorHAnsi"/>
        </w:rPr>
        <w:t>RoHS</w:t>
      </w:r>
      <w:proofErr w:type="spellEnd"/>
      <w:r w:rsidRPr="00BE39E6">
        <w:rPr>
          <w:rFonts w:asciiTheme="majorHAnsi" w:hAnsiTheme="majorHAnsi"/>
        </w:rPr>
        <w:t>.</w:t>
      </w:r>
    </w:p>
    <w:p w14:paraId="70178986" w14:textId="77777777" w:rsidR="00BE39E6" w:rsidRPr="00BE39E6" w:rsidRDefault="00BE39E6" w:rsidP="003F2AA5">
      <w:pPr>
        <w:spacing w:after="60"/>
        <w:ind w:left="277"/>
        <w:jc w:val="both"/>
        <w:rPr>
          <w:rFonts w:asciiTheme="majorHAnsi" w:hAnsiTheme="majorHAnsi"/>
        </w:rPr>
      </w:pPr>
    </w:p>
    <w:p w14:paraId="5203CF04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Dokumentacja</w:t>
      </w:r>
    </w:p>
    <w:p w14:paraId="7729B7AC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Dokumentacja w ramach projektu powinna zostać dostarczona w wersji elektronicznej, edytowalnej, w formacie uznawanym za standardowy dla oprogramowania, w którym została utworzona.</w:t>
      </w:r>
    </w:p>
    <w:p w14:paraId="16783EEB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Wraz z dokumentacją powinien zostać dostarczony spis dokumentacji, zawierający informacje o:</w:t>
      </w:r>
    </w:p>
    <w:p w14:paraId="1E12738C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proofErr w:type="gramStart"/>
      <w:r w:rsidRPr="00BE39E6">
        <w:rPr>
          <w:rFonts w:asciiTheme="majorHAnsi" w:hAnsiTheme="majorHAnsi"/>
        </w:rPr>
        <w:t>typie</w:t>
      </w:r>
      <w:proofErr w:type="gramEnd"/>
      <w:r w:rsidRPr="00BE39E6">
        <w:rPr>
          <w:rFonts w:asciiTheme="majorHAnsi" w:hAnsiTheme="majorHAnsi"/>
        </w:rPr>
        <w:t xml:space="preserve"> i wersji oprogramowania, w którym dany dokument został przygotowany,</w:t>
      </w:r>
    </w:p>
    <w:p w14:paraId="44E781D9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proofErr w:type="gramStart"/>
      <w:r w:rsidRPr="00BE39E6">
        <w:rPr>
          <w:rFonts w:asciiTheme="majorHAnsi" w:hAnsiTheme="majorHAnsi"/>
        </w:rPr>
        <w:t>informacja</w:t>
      </w:r>
      <w:proofErr w:type="gramEnd"/>
      <w:r w:rsidRPr="00BE39E6">
        <w:rPr>
          <w:rFonts w:asciiTheme="majorHAnsi" w:hAnsiTheme="majorHAnsi"/>
        </w:rPr>
        <w:t xml:space="preserve"> o tym, czy dany dokument stanowi część dokumentacji niezbędnej do produkcji urządzenia.</w:t>
      </w:r>
    </w:p>
    <w:p w14:paraId="006D4052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 przygotowania dokumentacji może być wykorzystywane wyłącznie oprogramowanie, które jest p</w:t>
      </w:r>
      <w:r w:rsidRPr="00BE39E6">
        <w:rPr>
          <w:rFonts w:asciiTheme="majorHAnsi" w:hAnsiTheme="majorHAnsi"/>
        </w:rPr>
        <w:t>o</w:t>
      </w:r>
      <w:r w:rsidRPr="00BE39E6">
        <w:rPr>
          <w:rFonts w:asciiTheme="majorHAnsi" w:hAnsiTheme="majorHAnsi"/>
        </w:rPr>
        <w:t>wszechnie stosowane na rynku, w tym przez firmy specjalizujące się w produkcji urządzeń elektronic</w:t>
      </w:r>
      <w:r w:rsidRPr="00BE39E6">
        <w:rPr>
          <w:rFonts w:asciiTheme="majorHAnsi" w:hAnsiTheme="majorHAnsi"/>
        </w:rPr>
        <w:t>z</w:t>
      </w:r>
      <w:r w:rsidRPr="00BE39E6">
        <w:rPr>
          <w:rFonts w:asciiTheme="majorHAnsi" w:hAnsiTheme="majorHAnsi"/>
        </w:rPr>
        <w:t>nych na podstawie projektów przygotowywanych przez inne firmy.</w:t>
      </w:r>
    </w:p>
    <w:p w14:paraId="7A493F23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 zakres dokumentacji muszą wejść wszelkie dokumenty pozwalające na produkcję urządzenia przez różnych producentów, w szczególności:</w:t>
      </w:r>
    </w:p>
    <w:p w14:paraId="67080824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Schematy ideowe.</w:t>
      </w:r>
    </w:p>
    <w:p w14:paraId="3A2D3E25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Rysunki techniczne specyficznych części rozwiązania, dostosowywanych oraz katalogowych, takich jak transformatory, dławiki, elementy mechaniczne, obudowa oraz formy do jej produ</w:t>
      </w:r>
      <w:r w:rsidRPr="00BE39E6">
        <w:rPr>
          <w:rFonts w:asciiTheme="majorHAnsi" w:hAnsiTheme="majorHAnsi"/>
        </w:rPr>
        <w:t>k</w:t>
      </w:r>
      <w:r w:rsidRPr="00BE39E6">
        <w:rPr>
          <w:rFonts w:asciiTheme="majorHAnsi" w:hAnsiTheme="majorHAnsi"/>
        </w:rPr>
        <w:t>cji.</w:t>
      </w:r>
    </w:p>
    <w:p w14:paraId="74B5EEF3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Rysunki złożeniowe.</w:t>
      </w:r>
    </w:p>
    <w:p w14:paraId="029CD47F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Dokumentacja niezbędna do produkcji obudowy w tym form wtryskowych oraz elementów m</w:t>
      </w:r>
      <w:r w:rsidRPr="00BE39E6">
        <w:rPr>
          <w:rFonts w:asciiTheme="majorHAnsi" w:hAnsiTheme="majorHAnsi"/>
        </w:rPr>
        <w:t>e</w:t>
      </w:r>
      <w:r w:rsidRPr="00BE39E6">
        <w:rPr>
          <w:rFonts w:asciiTheme="majorHAnsi" w:hAnsiTheme="majorHAnsi"/>
        </w:rPr>
        <w:t>talowych.</w:t>
      </w:r>
    </w:p>
    <w:p w14:paraId="5590B51F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BOM (</w:t>
      </w:r>
      <w:r w:rsidRPr="00BE39E6">
        <w:rPr>
          <w:rFonts w:asciiTheme="majorHAnsi" w:hAnsiTheme="majorHAnsi"/>
          <w:i/>
        </w:rPr>
        <w:t>Bill Of Materials</w:t>
      </w:r>
      <w:r w:rsidRPr="00BE39E6">
        <w:rPr>
          <w:rFonts w:asciiTheme="majorHAnsi" w:hAnsiTheme="majorHAnsi"/>
        </w:rPr>
        <w:t>) niezbędnych komponentów, z uwzględnieniem desygnatorów oraz n</w:t>
      </w:r>
      <w:r w:rsidRPr="00BE39E6">
        <w:rPr>
          <w:rFonts w:asciiTheme="majorHAnsi" w:hAnsiTheme="majorHAnsi"/>
        </w:rPr>
        <w:t>u</w:t>
      </w:r>
      <w:r w:rsidRPr="00BE39E6">
        <w:rPr>
          <w:rFonts w:asciiTheme="majorHAnsi" w:hAnsiTheme="majorHAnsi"/>
        </w:rPr>
        <w:t>merów części MPN (</w:t>
      </w:r>
      <w:proofErr w:type="spellStart"/>
      <w:r w:rsidRPr="00BE39E6">
        <w:rPr>
          <w:rFonts w:asciiTheme="majorHAnsi" w:hAnsiTheme="majorHAnsi"/>
          <w:i/>
        </w:rPr>
        <w:t>Manufacturer</w:t>
      </w:r>
      <w:proofErr w:type="spellEnd"/>
      <w:r w:rsidRPr="00BE39E6">
        <w:rPr>
          <w:rFonts w:asciiTheme="majorHAnsi" w:hAnsiTheme="majorHAnsi"/>
          <w:i/>
        </w:rPr>
        <w:t xml:space="preserve"> Part </w:t>
      </w:r>
      <w:proofErr w:type="spellStart"/>
      <w:r w:rsidRPr="00BE39E6">
        <w:rPr>
          <w:rFonts w:asciiTheme="majorHAnsi" w:hAnsiTheme="majorHAnsi"/>
          <w:i/>
        </w:rPr>
        <w:t>Number</w:t>
      </w:r>
      <w:proofErr w:type="spellEnd"/>
      <w:r w:rsidRPr="00BE39E6">
        <w:rPr>
          <w:rFonts w:asciiTheme="majorHAnsi" w:hAnsiTheme="majorHAnsi"/>
        </w:rPr>
        <w:t>).</w:t>
      </w:r>
    </w:p>
    <w:p w14:paraId="2B814DD1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Dokumentację produkcyjną obwodów drukowanych w formacie Extended Gerber (RS-274X).</w:t>
      </w:r>
    </w:p>
    <w:p w14:paraId="1A931675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Specyfikację zastosowanych materiałów procesowych, takich jak np. stop lutowniczy czy lakier zabezpieczający obwody drukowane.</w:t>
      </w:r>
    </w:p>
    <w:p w14:paraId="17D13D94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Instrukcję montażu oraz kartę katalogową urządzenia, opisującą jego najważniejsze parametry techniczno-eksploatacyjne.</w:t>
      </w:r>
    </w:p>
    <w:p w14:paraId="51341DA6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Kalkulację żywotności urządzenia sporządzoną w oparciu o standard </w:t>
      </w:r>
      <w:proofErr w:type="spellStart"/>
      <w:r w:rsidRPr="00BE39E6">
        <w:rPr>
          <w:rFonts w:asciiTheme="majorHAnsi" w:hAnsiTheme="majorHAnsi"/>
        </w:rPr>
        <w:t>Telcordia</w:t>
      </w:r>
      <w:proofErr w:type="spellEnd"/>
      <w:r w:rsidRPr="00BE39E6">
        <w:rPr>
          <w:rFonts w:asciiTheme="majorHAnsi" w:hAnsiTheme="majorHAnsi"/>
        </w:rPr>
        <w:t>, potwierdzającą możliwość eksploatacji urządzenia przez oczekiwany okres czasu, czyli minimum 10 lat.</w:t>
      </w:r>
    </w:p>
    <w:p w14:paraId="57623CB3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Specyfikacja testów produkcyjnych, niezbędnych do </w:t>
      </w:r>
      <w:proofErr w:type="gramStart"/>
      <w:r w:rsidRPr="00BE39E6">
        <w:rPr>
          <w:rFonts w:asciiTheme="majorHAnsi" w:hAnsiTheme="majorHAnsi"/>
        </w:rPr>
        <w:t>zapewnienia jakości</w:t>
      </w:r>
      <w:proofErr w:type="gramEnd"/>
      <w:r w:rsidRPr="00BE39E6">
        <w:rPr>
          <w:rFonts w:asciiTheme="majorHAnsi" w:hAnsiTheme="majorHAnsi"/>
        </w:rPr>
        <w:t xml:space="preserve"> produktu.</w:t>
      </w:r>
    </w:p>
    <w:p w14:paraId="6EBF7F3C" w14:textId="77777777" w:rsidR="00BE39E6" w:rsidRPr="00BE39E6" w:rsidRDefault="00BE39E6" w:rsidP="003F2AA5">
      <w:pPr>
        <w:pStyle w:val="Akapitzlist"/>
        <w:numPr>
          <w:ilvl w:val="2"/>
          <w:numId w:val="146"/>
        </w:numPr>
        <w:spacing w:after="60" w:line="259" w:lineRule="auto"/>
        <w:ind w:left="1843" w:hanging="851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Wycen poszczególnych elementów oraz oszacowanie kosztów produkcji wielkoseryjnej (BOM, PCB, mechanika).</w:t>
      </w:r>
    </w:p>
    <w:p w14:paraId="43810354" w14:textId="77777777" w:rsidR="00BE39E6" w:rsidRPr="00BE39E6" w:rsidRDefault="00BE39E6" w:rsidP="003F2AA5">
      <w:pPr>
        <w:tabs>
          <w:tab w:val="left" w:pos="1155"/>
        </w:tabs>
        <w:spacing w:after="60"/>
        <w:jc w:val="both"/>
        <w:rPr>
          <w:rFonts w:asciiTheme="majorHAnsi" w:hAnsiTheme="majorHAnsi"/>
          <w:color w:val="FF0000"/>
        </w:rPr>
      </w:pPr>
    </w:p>
    <w:p w14:paraId="476981F6" w14:textId="77777777" w:rsidR="00BE39E6" w:rsidRPr="00BE39E6" w:rsidRDefault="00BE39E6" w:rsidP="003F2AA5">
      <w:pPr>
        <w:pStyle w:val="Akapitzlist"/>
        <w:numPr>
          <w:ilvl w:val="0"/>
          <w:numId w:val="146"/>
        </w:numPr>
        <w:spacing w:after="60" w:line="259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E39E6">
        <w:rPr>
          <w:rFonts w:asciiTheme="majorHAnsi" w:hAnsiTheme="majorHAnsi"/>
          <w:b/>
          <w:sz w:val="24"/>
          <w:szCs w:val="24"/>
        </w:rPr>
        <w:t>Wymagane certyfikaty oraz inne dokumenty potwierdzające parametry urządzenia</w:t>
      </w:r>
    </w:p>
    <w:p w14:paraId="35AB890B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 xml:space="preserve">Potwierdzenie zgodności realizowanej produkcji ze standardem IPC 610, </w:t>
      </w:r>
      <w:proofErr w:type="spellStart"/>
      <w:r w:rsidRPr="00BE39E6">
        <w:rPr>
          <w:rFonts w:asciiTheme="majorHAnsi" w:hAnsiTheme="majorHAnsi"/>
        </w:rPr>
        <w:t>class</w:t>
      </w:r>
      <w:proofErr w:type="spellEnd"/>
      <w:r w:rsidRPr="00BE39E6">
        <w:rPr>
          <w:rFonts w:asciiTheme="majorHAnsi" w:hAnsiTheme="majorHAnsi"/>
        </w:rPr>
        <w:t xml:space="preserve"> 2.</w:t>
      </w:r>
    </w:p>
    <w:p w14:paraId="10B53A33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Certyfikat CE.</w:t>
      </w:r>
    </w:p>
    <w:p w14:paraId="138669C8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 potwierdzający wykonanie badań w zakresie zgodności urządzenia z CENELEC A.</w:t>
      </w:r>
    </w:p>
    <w:p w14:paraId="2694DA6D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 potwierdzający wykonanie badań klasy ochrony IP urządzenia.</w:t>
      </w:r>
    </w:p>
    <w:p w14:paraId="378C46FD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 potwierdzający wykonanie badań klasy niepalności urządzenia.</w:t>
      </w:r>
    </w:p>
    <w:p w14:paraId="1B8C2504" w14:textId="77777777" w:rsidR="00BE39E6" w:rsidRPr="00BE39E6" w:rsidRDefault="00BE39E6" w:rsidP="003F2AA5">
      <w:pPr>
        <w:pStyle w:val="Akapitzlist"/>
        <w:numPr>
          <w:ilvl w:val="1"/>
          <w:numId w:val="146"/>
        </w:numPr>
        <w:spacing w:after="60" w:line="259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BE39E6">
        <w:rPr>
          <w:rFonts w:asciiTheme="majorHAnsi" w:hAnsiTheme="majorHAnsi"/>
        </w:rPr>
        <w:t>Dokument potwierdzający wykonanie badań starzeniowych urządzenia oraz jego zdolności do pracy w wymaganym zakresie temperatur.</w:t>
      </w:r>
    </w:p>
    <w:p w14:paraId="6A74BA68" w14:textId="77777777" w:rsidR="00BE39E6" w:rsidRDefault="00BE39E6" w:rsidP="00BE39E6">
      <w:pPr>
        <w:spacing w:after="120"/>
        <w:ind w:left="426"/>
        <w:jc w:val="both"/>
      </w:pPr>
    </w:p>
    <w:p w14:paraId="1B200B37" w14:textId="77777777" w:rsidR="00BE39E6" w:rsidRDefault="00BE39E6" w:rsidP="00BE39E6">
      <w:pPr>
        <w:spacing w:after="120"/>
        <w:ind w:left="426"/>
        <w:jc w:val="both"/>
      </w:pPr>
    </w:p>
    <w:p w14:paraId="375AF1E1" w14:textId="77777777" w:rsidR="00BE39E6" w:rsidRDefault="00BE39E6" w:rsidP="00BE39E6">
      <w:pPr>
        <w:spacing w:after="120"/>
        <w:jc w:val="both"/>
      </w:pPr>
    </w:p>
    <w:p w14:paraId="59F89A98" w14:textId="77777777" w:rsidR="00386AC4" w:rsidRPr="001F6B22" w:rsidRDefault="00386AC4" w:rsidP="00386AC4">
      <w:pPr>
        <w:spacing w:after="120" w:line="300" w:lineRule="atLeast"/>
        <w:rPr>
          <w:rFonts w:asciiTheme="majorHAnsi" w:hAnsiTheme="majorHAnsi" w:cs="Arial"/>
          <w:sz w:val="22"/>
          <w:szCs w:val="22"/>
        </w:rPr>
      </w:pPr>
    </w:p>
    <w:p w14:paraId="314F972E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br w:type="page"/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86AC4" w:rsidRPr="001F6B22" w14:paraId="3C78EE84" w14:textId="77777777" w:rsidTr="003F2AA5">
        <w:tc>
          <w:tcPr>
            <w:tcW w:w="6237" w:type="dxa"/>
          </w:tcPr>
          <w:p w14:paraId="6BB5E757" w14:textId="7DE0E0DD" w:rsidR="00386AC4" w:rsidRPr="001F6B22" w:rsidRDefault="00C6272A" w:rsidP="00140A00">
            <w:pPr>
              <w:spacing w:after="120"/>
              <w:jc w:val="right"/>
              <w:rPr>
                <w:rFonts w:asciiTheme="majorHAnsi" w:hAnsiTheme="majorHAnsi" w:cs="Arial"/>
              </w:rPr>
            </w:pPr>
            <w:r w:rsidRPr="001F6B22">
              <w:rPr>
                <w:rFonts w:asciiTheme="majorHAnsi" w:hAnsiTheme="majorHAnsi" w:cs="Arial"/>
                <w:b/>
              </w:rPr>
              <w:t>Załą</w:t>
            </w:r>
            <w:bookmarkStart w:id="13" w:name="_GoBack"/>
            <w:bookmarkEnd w:id="13"/>
            <w:r w:rsidRPr="001F6B22">
              <w:rPr>
                <w:rFonts w:asciiTheme="majorHAnsi" w:hAnsiTheme="majorHAnsi" w:cs="Arial"/>
                <w:b/>
              </w:rPr>
              <w:t xml:space="preserve">cznik nr </w:t>
            </w:r>
            <w:r w:rsidR="00A22D22">
              <w:rPr>
                <w:rFonts w:asciiTheme="majorHAnsi" w:hAnsiTheme="majorHAnsi" w:cs="Arial"/>
                <w:b/>
              </w:rPr>
              <w:t>C</w:t>
            </w:r>
            <w:r w:rsidRPr="001F6B22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066305D0" w14:textId="77777777" w:rsidR="00386AC4" w:rsidRPr="001F6B22" w:rsidRDefault="00386AC4" w:rsidP="00386AC4">
      <w:pPr>
        <w:rPr>
          <w:rFonts w:asciiTheme="majorHAnsi" w:hAnsiTheme="majorHAnsi" w:cs="Arial"/>
          <w:b/>
          <w:sz w:val="22"/>
          <w:szCs w:val="22"/>
        </w:rPr>
      </w:pPr>
    </w:p>
    <w:p w14:paraId="57A4D480" w14:textId="07AF1490" w:rsidR="00386AC4" w:rsidRPr="001F6B22" w:rsidRDefault="00386AC4" w:rsidP="00386AC4">
      <w:pPr>
        <w:tabs>
          <w:tab w:val="num" w:pos="142"/>
        </w:tabs>
        <w:spacing w:line="300" w:lineRule="atLeast"/>
        <w:jc w:val="center"/>
        <w:rPr>
          <w:rFonts w:asciiTheme="majorHAnsi" w:hAnsiTheme="majorHAnsi" w:cs="Arial"/>
          <w:b/>
          <w:sz w:val="22"/>
          <w:szCs w:val="22"/>
        </w:rPr>
      </w:pPr>
      <w:r w:rsidRPr="001F6B22">
        <w:rPr>
          <w:rFonts w:asciiTheme="majorHAnsi" w:hAnsiTheme="majorHAnsi" w:cs="Arial"/>
          <w:b/>
          <w:sz w:val="22"/>
          <w:szCs w:val="22"/>
        </w:rPr>
        <w:t>Wymagania dotyczące obudowy i skrzynki zaciskowej</w:t>
      </w:r>
      <w:r w:rsidR="006B180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F6B22">
        <w:rPr>
          <w:rFonts w:asciiTheme="majorHAnsi" w:hAnsiTheme="majorHAnsi" w:cs="Arial"/>
          <w:b/>
          <w:sz w:val="22"/>
          <w:szCs w:val="22"/>
        </w:rPr>
        <w:t>urządzeń</w:t>
      </w:r>
    </w:p>
    <w:p w14:paraId="697919E6" w14:textId="77777777" w:rsidR="00386AC4" w:rsidRPr="001F6B22" w:rsidRDefault="00386AC4" w:rsidP="00386AC4">
      <w:pPr>
        <w:tabs>
          <w:tab w:val="num" w:pos="142"/>
        </w:tabs>
        <w:spacing w:line="300" w:lineRule="atLeast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5E37FDE" w14:textId="77777777" w:rsidR="00386AC4" w:rsidRPr="001F6B22" w:rsidRDefault="00386AC4" w:rsidP="003F2AA5">
      <w:pPr>
        <w:spacing w:after="120" w:line="280" w:lineRule="exact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Urządzenia AMI (liczniki bilansujące zintegrowane z koncentratorem danych) muszą spełniać następujące wymagania w zakresie wymiarów obudowy i skrzynki zaciskowej.</w:t>
      </w:r>
    </w:p>
    <w:p w14:paraId="63AD5664" w14:textId="77777777" w:rsidR="00386AC4" w:rsidRPr="001F6B22" w:rsidRDefault="00386AC4" w:rsidP="003F2AA5">
      <w:pPr>
        <w:numPr>
          <w:ilvl w:val="0"/>
          <w:numId w:val="2"/>
        </w:numPr>
        <w:spacing w:after="120" w:line="280" w:lineRule="exac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Zaciski podłączenia napięcia lub prądu fazowego muszą być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>wykonane jako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>, przystosowane do instal</w:t>
      </w:r>
      <w:r w:rsidRPr="001F6B22">
        <w:rPr>
          <w:rFonts w:asciiTheme="majorHAnsi" w:hAnsiTheme="majorHAnsi" w:cs="Arial"/>
          <w:sz w:val="22"/>
          <w:szCs w:val="22"/>
        </w:rPr>
        <w:t>a</w:t>
      </w:r>
      <w:r w:rsidRPr="001F6B22">
        <w:rPr>
          <w:rFonts w:asciiTheme="majorHAnsi" w:hAnsiTheme="majorHAnsi" w:cs="Arial"/>
          <w:sz w:val="22"/>
          <w:szCs w:val="22"/>
        </w:rPr>
        <w:t>cji aluminiowych i miedzianych, zaciski klatkowe wyposażone w 1 śrubę dociskową o szerokości okna pozwalającej na swobodne umieszczenie przewodu o średnicy T-0,5 mm (gdzie wartość T, rozumianą jako średnicę okręgu wpisanego w klatkę, podano w tabeli poniżej) i pewne zaciśnięcie przewodu o przekroju minimum 2,5 mm</w:t>
      </w:r>
      <w:r w:rsidRPr="001F6B22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1F6B22">
        <w:rPr>
          <w:rFonts w:asciiTheme="majorHAnsi" w:hAnsiTheme="majorHAnsi" w:cs="Arial"/>
          <w:sz w:val="22"/>
          <w:szCs w:val="22"/>
        </w:rPr>
        <w:t>.</w:t>
      </w:r>
    </w:p>
    <w:p w14:paraId="0BD82601" w14:textId="77777777" w:rsidR="00386AC4" w:rsidRPr="001F6B22" w:rsidRDefault="00386AC4" w:rsidP="003F2AA5">
      <w:pPr>
        <w:numPr>
          <w:ilvl w:val="0"/>
          <w:numId w:val="2"/>
        </w:numPr>
        <w:spacing w:after="120" w:line="280" w:lineRule="exac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Śruby zaciskowe muszą mieć: </w:t>
      </w:r>
    </w:p>
    <w:p w14:paraId="7E36A883" w14:textId="42D6BC64" w:rsidR="00386AC4" w:rsidRPr="001F6B22" w:rsidRDefault="00386AC4" w:rsidP="003F2AA5">
      <w:pPr>
        <w:pStyle w:val="Akapitzlist"/>
        <w:numPr>
          <w:ilvl w:val="0"/>
          <w:numId w:val="3"/>
        </w:numPr>
        <w:spacing w:after="120" w:line="280" w:lineRule="exact"/>
        <w:ind w:left="425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łeb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płaski o średnicy 5÷7mm, uniwersalne wgłębienie wg ISO4757 – rowkowe o szerokości 1,2±0,4 mm i długości minimum 6 mm oraz krzyżowe typu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Pozidriv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PZ2 dla liczników bezpośrednich,</w:t>
      </w:r>
      <w:r w:rsidR="006B1801">
        <w:rPr>
          <w:rFonts w:asciiTheme="majorHAnsi" w:hAnsiTheme="majorHAnsi" w:cs="Arial"/>
          <w:sz w:val="22"/>
          <w:szCs w:val="22"/>
        </w:rPr>
        <w:t xml:space="preserve"> </w:t>
      </w:r>
    </w:p>
    <w:p w14:paraId="11EB939E" w14:textId="77777777" w:rsidR="00386AC4" w:rsidRPr="001F6B22" w:rsidRDefault="00386AC4" w:rsidP="003F2AA5">
      <w:pPr>
        <w:pStyle w:val="Akapitzlist"/>
        <w:numPr>
          <w:ilvl w:val="0"/>
          <w:numId w:val="3"/>
        </w:numPr>
        <w:spacing w:after="120" w:line="280" w:lineRule="exact"/>
        <w:ind w:left="425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F6B22">
        <w:rPr>
          <w:rFonts w:asciiTheme="majorHAnsi" w:hAnsiTheme="majorHAnsi" w:cs="Arial"/>
          <w:sz w:val="22"/>
          <w:szCs w:val="22"/>
        </w:rPr>
        <w:t>łeb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płaski o średnicy 4÷6mm, uniwersalne wgłębienie wg ISO4757 – rowkowe o szerokości 0,8±0,2 mm i długości minimum 4 mm oraz krzyżowe typu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Pozidriv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PZ1 dla liczników przekładnikowych.</w:t>
      </w:r>
      <w:r w:rsidRPr="001F6B22" w:rsidDel="00C2407E">
        <w:rPr>
          <w:rFonts w:asciiTheme="majorHAnsi" w:hAnsiTheme="majorHAnsi" w:cs="Arial"/>
          <w:sz w:val="22"/>
          <w:szCs w:val="22"/>
        </w:rPr>
        <w:t xml:space="preserve"> </w:t>
      </w:r>
    </w:p>
    <w:p w14:paraId="158AC8C7" w14:textId="77777777" w:rsidR="00386AC4" w:rsidRPr="001F6B22" w:rsidRDefault="00386AC4" w:rsidP="003F2AA5">
      <w:pPr>
        <w:numPr>
          <w:ilvl w:val="0"/>
          <w:numId w:val="2"/>
        </w:numPr>
        <w:spacing w:after="120" w:line="280" w:lineRule="exact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 xml:space="preserve">Podłączenia obwodów pomocniczych muszą być </w:t>
      </w:r>
      <w:proofErr w:type="gramStart"/>
      <w:r w:rsidRPr="001F6B22">
        <w:rPr>
          <w:rFonts w:asciiTheme="majorHAnsi" w:hAnsiTheme="majorHAnsi" w:cs="Arial"/>
          <w:sz w:val="22"/>
          <w:szCs w:val="22"/>
        </w:rPr>
        <w:t>wykonane jako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zaciski śrubowe lub klatkowe (zwykłe albo </w:t>
      </w:r>
      <w:proofErr w:type="spellStart"/>
      <w:r w:rsidRPr="001F6B22">
        <w:rPr>
          <w:rFonts w:asciiTheme="majorHAnsi" w:hAnsiTheme="majorHAnsi" w:cs="Arial"/>
          <w:sz w:val="22"/>
          <w:szCs w:val="22"/>
        </w:rPr>
        <w:t>samozaciskające</w:t>
      </w:r>
      <w:proofErr w:type="spellEnd"/>
      <w:r w:rsidRPr="001F6B22">
        <w:rPr>
          <w:rFonts w:asciiTheme="majorHAnsi" w:hAnsiTheme="majorHAnsi" w:cs="Arial"/>
          <w:sz w:val="22"/>
          <w:szCs w:val="22"/>
        </w:rPr>
        <w:t xml:space="preserve"> sprężynowe) i umożliwiać swobodne zamocowanie przewodu drutowego o przekroju do 2,5mm</w:t>
      </w:r>
      <w:r w:rsidRPr="001F6B22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1F6B22">
        <w:rPr>
          <w:rFonts w:asciiTheme="majorHAnsi" w:hAnsiTheme="majorHAnsi" w:cs="Arial"/>
          <w:sz w:val="22"/>
          <w:szCs w:val="22"/>
        </w:rPr>
        <w:t>.</w:t>
      </w:r>
    </w:p>
    <w:p w14:paraId="08452C80" w14:textId="77777777" w:rsidR="00386AC4" w:rsidRPr="001F6B22" w:rsidRDefault="00386AC4" w:rsidP="003F2AA5">
      <w:pPr>
        <w:spacing w:line="280" w:lineRule="exact"/>
        <w:rPr>
          <w:rFonts w:asciiTheme="majorHAnsi" w:hAnsiTheme="majorHAnsi" w:cs="Arial"/>
          <w:sz w:val="22"/>
          <w:szCs w:val="22"/>
        </w:rPr>
      </w:pPr>
      <w:bookmarkStart w:id="14" w:name="_Ref396055426"/>
      <w:r w:rsidRPr="001F6B22">
        <w:rPr>
          <w:rFonts w:asciiTheme="majorHAnsi" w:hAnsiTheme="majorHAnsi" w:cs="Arial"/>
          <w:sz w:val="22"/>
          <w:szCs w:val="22"/>
        </w:rPr>
        <w:t>Pozostałe wymiary konstrukcyjne liczników muszą być zgodne z poniższą tabelą</w:t>
      </w:r>
      <w:bookmarkEnd w:id="14"/>
      <w:r w:rsidRPr="001F6B22">
        <w:rPr>
          <w:rFonts w:asciiTheme="majorHAnsi" w:hAnsiTheme="majorHAnsi" w:cs="Arial"/>
          <w:sz w:val="22"/>
          <w:szCs w:val="22"/>
        </w:rPr>
        <w:tab/>
      </w:r>
    </w:p>
    <w:p w14:paraId="60C8D26F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912"/>
      </w:tblGrid>
      <w:tr w:rsidR="00386AC4" w:rsidRPr="001F6B22" w14:paraId="58AAA241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3DE569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Wymiar [mm]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6B500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3-fazowy przekładnikowy licznik energii elektrycznej bilansujący lub półpośredni</w:t>
            </w:r>
          </w:p>
        </w:tc>
      </w:tr>
      <w:tr w:rsidR="00386AC4" w:rsidRPr="001F6B22" w14:paraId="54323DDF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8EFA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CDDC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1F6B22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n</w:t>
            </w:r>
            <w:r w:rsidRPr="001F6B22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proofErr w:type="spellStart"/>
            <w:r w:rsidRPr="001F6B22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1F6B22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max</w:t>
            </w:r>
            <w:proofErr w:type="spellEnd"/>
            <w:proofErr w:type="gramStart"/>
            <w:r w:rsidRPr="001F6B22">
              <w:rPr>
                <w:rFonts w:asciiTheme="majorHAnsi" w:hAnsiTheme="majorHAnsi" w:cs="Arial"/>
                <w:sz w:val="22"/>
                <w:szCs w:val="22"/>
              </w:rPr>
              <w:t>) = 5(10)A</w:t>
            </w:r>
            <w:proofErr w:type="gramEnd"/>
          </w:p>
        </w:tc>
      </w:tr>
      <w:tr w:rsidR="00386AC4" w:rsidRPr="001F6B22" w14:paraId="51042688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2C2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1CA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150</w:t>
            </w:r>
          </w:p>
        </w:tc>
      </w:tr>
      <w:tr w:rsidR="00386AC4" w:rsidRPr="001F6B22" w14:paraId="4AD8AAB9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96E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B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B9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170-230</w:t>
            </w:r>
          </w:p>
        </w:tc>
      </w:tr>
      <w:tr w:rsidR="00386AC4" w:rsidRPr="001F6B22" w14:paraId="314AA603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DB3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C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BB5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≤ 210</w:t>
            </w:r>
          </w:p>
        </w:tc>
      </w:tr>
      <w:tr w:rsidR="00386AC4" w:rsidRPr="001F6B22" w14:paraId="4033E448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0F7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D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F56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5,5 - 6</w:t>
            </w:r>
          </w:p>
        </w:tc>
      </w:tr>
      <w:tr w:rsidR="00386AC4" w:rsidRPr="001F6B22" w14:paraId="7CF868C8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748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8ED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7,5 – 11</w:t>
            </w:r>
          </w:p>
        </w:tc>
      </w:tr>
      <w:tr w:rsidR="00386AC4" w:rsidRPr="001F6B22" w14:paraId="18CEA0FF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4F1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27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1F6B22">
              <w:rPr>
                <w:rFonts w:asciiTheme="majorHAnsi" w:hAnsiTheme="majorHAnsi" w:cs="Arial"/>
                <w:sz w:val="22"/>
                <w:szCs w:val="22"/>
              </w:rPr>
              <w:t>min</w:t>
            </w:r>
            <w:proofErr w:type="gramEnd"/>
            <w:r w:rsidRPr="001F6B22">
              <w:rPr>
                <w:rFonts w:asciiTheme="majorHAnsi" w:hAnsiTheme="majorHAnsi" w:cs="Arial"/>
                <w:sz w:val="22"/>
                <w:szCs w:val="22"/>
              </w:rPr>
              <w:t>. 40</w:t>
            </w:r>
          </w:p>
        </w:tc>
      </w:tr>
      <w:tr w:rsidR="00386AC4" w:rsidRPr="001F6B22" w14:paraId="0A395656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FC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W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260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1F6B22">
              <w:rPr>
                <w:rFonts w:asciiTheme="majorHAnsi" w:hAnsiTheme="majorHAnsi" w:cs="Arial"/>
                <w:sz w:val="22"/>
                <w:szCs w:val="22"/>
              </w:rPr>
              <w:t>min</w:t>
            </w:r>
            <w:proofErr w:type="gramEnd"/>
            <w:r w:rsidRPr="001F6B22">
              <w:rPr>
                <w:rFonts w:asciiTheme="majorHAnsi" w:hAnsiTheme="majorHAnsi" w:cs="Arial"/>
                <w:sz w:val="22"/>
                <w:szCs w:val="22"/>
              </w:rPr>
              <w:t>. 5,5</w:t>
            </w:r>
          </w:p>
        </w:tc>
      </w:tr>
      <w:tr w:rsidR="00386AC4" w:rsidRPr="001F6B22" w14:paraId="46F1E4A2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5A7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Z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B4A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≤90</w:t>
            </w:r>
          </w:p>
        </w:tc>
      </w:tr>
      <w:tr w:rsidR="00386AC4" w:rsidRPr="001F6B22" w14:paraId="158C1435" w14:textId="77777777" w:rsidTr="00082CC0">
        <w:trPr>
          <w:trHeight w:val="1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CF105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17224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6AC4" w:rsidRPr="001F6B22" w14:paraId="7B57AA73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11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11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1F6B2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±0,5</w:t>
            </w:r>
          </w:p>
        </w:tc>
      </w:tr>
      <w:tr w:rsidR="00386AC4" w:rsidRPr="001F6B22" w14:paraId="063703BA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5F6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C5B1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</w:tr>
      <w:tr w:rsidR="00386AC4" w:rsidRPr="001F6B22" w14:paraId="043DC398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3AE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B06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</w:tr>
      <w:tr w:rsidR="00386AC4" w:rsidRPr="001F6B22" w14:paraId="1EEBFB12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C99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422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16-20</w:t>
            </w:r>
          </w:p>
        </w:tc>
      </w:tr>
      <w:tr w:rsidR="00386AC4" w:rsidRPr="001F6B22" w14:paraId="4E998928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9649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9EC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1F6B22">
              <w:rPr>
                <w:rFonts w:asciiTheme="majorHAnsi" w:hAnsiTheme="majorHAnsi" w:cs="Arial"/>
                <w:sz w:val="22"/>
                <w:szCs w:val="22"/>
              </w:rPr>
              <w:t>min</w:t>
            </w:r>
            <w:proofErr w:type="gramEnd"/>
            <w:r w:rsidRPr="001F6B22">
              <w:rPr>
                <w:rFonts w:asciiTheme="majorHAnsi" w:hAnsiTheme="majorHAnsi" w:cs="Arial"/>
                <w:sz w:val="22"/>
                <w:szCs w:val="22"/>
              </w:rPr>
              <w:t>. 4,5</w:t>
            </w:r>
          </w:p>
        </w:tc>
      </w:tr>
      <w:tr w:rsidR="00386AC4" w:rsidRPr="001F6B22" w14:paraId="67931F0C" w14:textId="77777777" w:rsidTr="00082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846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G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FFB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≥14</w:t>
            </w:r>
          </w:p>
        </w:tc>
      </w:tr>
    </w:tbl>
    <w:p w14:paraId="121AF869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</w:p>
    <w:p w14:paraId="2FB8A0F3" w14:textId="77777777" w:rsidR="00386AC4" w:rsidRPr="001F6B22" w:rsidRDefault="00386AC4" w:rsidP="00386AC4">
      <w:pPr>
        <w:tabs>
          <w:tab w:val="left" w:pos="9464"/>
        </w:tabs>
        <w:ind w:left="-34"/>
        <w:rPr>
          <w:rFonts w:asciiTheme="majorHAnsi" w:hAnsiTheme="majorHAnsi" w:cs="Arial"/>
          <w:sz w:val="22"/>
          <w:szCs w:val="22"/>
        </w:rPr>
      </w:pPr>
    </w:p>
    <w:p w14:paraId="590344B8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</w:p>
    <w:p w14:paraId="6D703AC1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eastAsia="Calibri" w:hAnsiTheme="majorHAnsi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C32F7E" wp14:editId="5701BAFB">
            <wp:simplePos x="0" y="0"/>
            <wp:positionH relativeFrom="column">
              <wp:posOffset>-21590</wp:posOffset>
            </wp:positionH>
            <wp:positionV relativeFrom="paragraph">
              <wp:posOffset>410210</wp:posOffset>
            </wp:positionV>
            <wp:extent cx="6193790" cy="5244465"/>
            <wp:effectExtent l="0" t="0" r="3810" b="0"/>
            <wp:wrapSquare wrapText="bothSides"/>
            <wp:docPr id="6" name="Obraz 6" descr="Licznik 3F- 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cznik 3F- wymia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F6B22">
        <w:rPr>
          <w:rFonts w:asciiTheme="majorHAnsi" w:hAnsiTheme="majorHAnsi" w:cs="Arial"/>
          <w:sz w:val="22"/>
          <w:szCs w:val="22"/>
        </w:rPr>
        <w:t>gdzie</w:t>
      </w:r>
      <w:proofErr w:type="gramEnd"/>
      <w:r w:rsidRPr="001F6B22">
        <w:rPr>
          <w:rFonts w:asciiTheme="majorHAnsi" w:hAnsiTheme="majorHAnsi" w:cs="Arial"/>
          <w:sz w:val="22"/>
          <w:szCs w:val="22"/>
        </w:rPr>
        <w:t xml:space="preserve"> poszczególne wymiary oznaczone literami objaśniono na zamieszczonych dalej rysunkach.</w:t>
      </w:r>
    </w:p>
    <w:p w14:paraId="058AFE3F" w14:textId="77777777" w:rsidR="00386AC4" w:rsidRPr="001F6B22" w:rsidRDefault="00386AC4" w:rsidP="00386AC4">
      <w:pPr>
        <w:ind w:left="-34"/>
        <w:rPr>
          <w:rFonts w:asciiTheme="majorHAnsi" w:hAnsiTheme="majorHAnsi" w:cs="Arial"/>
          <w:sz w:val="22"/>
          <w:szCs w:val="22"/>
        </w:rPr>
      </w:pPr>
    </w:p>
    <w:p w14:paraId="40485B61" w14:textId="77777777" w:rsidR="00386AC4" w:rsidRPr="001F6B22" w:rsidRDefault="00386AC4" w:rsidP="00386AC4">
      <w:pPr>
        <w:jc w:val="center"/>
        <w:rPr>
          <w:rFonts w:asciiTheme="majorHAnsi" w:hAnsiTheme="majorHAnsi" w:cs="Arial"/>
          <w:sz w:val="22"/>
          <w:szCs w:val="22"/>
        </w:rPr>
      </w:pPr>
    </w:p>
    <w:p w14:paraId="32E65D53" w14:textId="5ECC6C9C" w:rsidR="00386AC4" w:rsidRPr="001F6B22" w:rsidRDefault="00386AC4" w:rsidP="007D4941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sz w:val="22"/>
          <w:szCs w:val="22"/>
        </w:rPr>
        <w:t>W przypadku licznika bilansującego zintegrowanego z koncentratorem danych na szynie TH35, zgo</w:t>
      </w:r>
      <w:r w:rsidRPr="001F6B22">
        <w:rPr>
          <w:rFonts w:asciiTheme="majorHAnsi" w:hAnsiTheme="majorHAnsi" w:cs="Arial"/>
          <w:sz w:val="22"/>
          <w:szCs w:val="22"/>
        </w:rPr>
        <w:t>d</w:t>
      </w:r>
      <w:r w:rsidRPr="001F6B22">
        <w:rPr>
          <w:rFonts w:asciiTheme="majorHAnsi" w:hAnsiTheme="majorHAnsi" w:cs="Arial"/>
          <w:sz w:val="22"/>
          <w:szCs w:val="22"/>
        </w:rPr>
        <w:t>nie z (EN 50022), nie stosuje się wymiarów</w:t>
      </w:r>
      <w:r w:rsidR="006B1801">
        <w:rPr>
          <w:rFonts w:asciiTheme="majorHAnsi" w:hAnsiTheme="majorHAnsi" w:cs="Arial"/>
          <w:sz w:val="22"/>
          <w:szCs w:val="22"/>
        </w:rPr>
        <w:t xml:space="preserve"> </w:t>
      </w:r>
      <w:r w:rsidRPr="001F6B22">
        <w:rPr>
          <w:rFonts w:asciiTheme="majorHAnsi" w:hAnsiTheme="majorHAnsi" w:cs="Arial"/>
          <w:sz w:val="22"/>
          <w:szCs w:val="22"/>
        </w:rPr>
        <w:t>A, B, D, E, W, natomiast wprowadza się dodatkowo wymi</w:t>
      </w:r>
      <w:r w:rsidRPr="001F6B22">
        <w:rPr>
          <w:rFonts w:asciiTheme="majorHAnsi" w:hAnsiTheme="majorHAnsi" w:cs="Arial"/>
          <w:sz w:val="22"/>
          <w:szCs w:val="22"/>
        </w:rPr>
        <w:t>a</w:t>
      </w:r>
      <w:r w:rsidRPr="001F6B22">
        <w:rPr>
          <w:rFonts w:asciiTheme="majorHAnsi" w:hAnsiTheme="majorHAnsi" w:cs="Arial"/>
          <w:sz w:val="22"/>
          <w:szCs w:val="22"/>
        </w:rPr>
        <w:t xml:space="preserve">ry jak w poniższej tabeli i rysunku. </w:t>
      </w:r>
    </w:p>
    <w:p w14:paraId="4A96FEC3" w14:textId="77777777" w:rsidR="00386AC4" w:rsidRPr="001F6B22" w:rsidRDefault="00386AC4" w:rsidP="00386AC4">
      <w:pPr>
        <w:spacing w:after="120"/>
        <w:ind w:left="360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981"/>
      </w:tblGrid>
      <w:tr w:rsidR="00386AC4" w:rsidRPr="001F6B22" w14:paraId="66D473D0" w14:textId="77777777" w:rsidTr="00082CC0">
        <w:trPr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B84EDE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Wymiar [mm]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B64DD3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Licznik bilansujący, koncentrator danych lub licznik bilansujący zintegr</w:t>
            </w: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o</w:t>
            </w:r>
            <w:r w:rsidRPr="001F6B22">
              <w:rPr>
                <w:rFonts w:asciiTheme="majorHAnsi" w:hAnsiTheme="majorHAnsi" w:cs="Arial"/>
                <w:b/>
                <w:sz w:val="22"/>
                <w:szCs w:val="22"/>
              </w:rPr>
              <w:t>wany z koncentratorem danych</w:t>
            </w:r>
          </w:p>
        </w:tc>
      </w:tr>
      <w:tr w:rsidR="00386AC4" w:rsidRPr="001F6B22" w14:paraId="2A159959" w14:textId="77777777" w:rsidTr="00082CC0">
        <w:trPr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DC6F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K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169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20 ÷115</w:t>
            </w:r>
          </w:p>
        </w:tc>
      </w:tr>
      <w:tr w:rsidR="00386AC4" w:rsidRPr="001F6B22" w14:paraId="18C1C257" w14:textId="77777777" w:rsidTr="00082CC0">
        <w:trPr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D02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L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8C0" w14:textId="77777777" w:rsidR="00386AC4" w:rsidRPr="001F6B22" w:rsidRDefault="00386AC4" w:rsidP="00082CC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6B22">
              <w:rPr>
                <w:rFonts w:asciiTheme="majorHAnsi" w:hAnsiTheme="majorHAnsi" w:cs="Arial"/>
                <w:sz w:val="22"/>
                <w:szCs w:val="22"/>
              </w:rPr>
              <w:t>35 (mocowanie na szynę TH35)</w:t>
            </w:r>
          </w:p>
        </w:tc>
      </w:tr>
    </w:tbl>
    <w:p w14:paraId="5C494F5B" w14:textId="77777777" w:rsidR="00386AC4" w:rsidRPr="001F6B22" w:rsidRDefault="00386AC4" w:rsidP="00386AC4">
      <w:pPr>
        <w:pStyle w:val="Akapitzlist"/>
        <w:ind w:left="360"/>
        <w:rPr>
          <w:rFonts w:asciiTheme="majorHAnsi" w:hAnsiTheme="majorHAnsi" w:cs="Arial"/>
          <w:sz w:val="22"/>
          <w:szCs w:val="22"/>
        </w:rPr>
      </w:pPr>
    </w:p>
    <w:p w14:paraId="03764867" w14:textId="77777777" w:rsidR="00386AC4" w:rsidRPr="001F6B22" w:rsidRDefault="00386AC4" w:rsidP="00386AC4">
      <w:pPr>
        <w:pStyle w:val="Akapitzlist"/>
        <w:ind w:left="360"/>
        <w:rPr>
          <w:rFonts w:asciiTheme="majorHAnsi" w:hAnsiTheme="majorHAnsi" w:cs="Arial"/>
          <w:sz w:val="22"/>
          <w:szCs w:val="22"/>
        </w:rPr>
      </w:pPr>
    </w:p>
    <w:p w14:paraId="6BC451EF" w14:textId="77777777" w:rsidR="00386AC4" w:rsidRPr="001F6B22" w:rsidRDefault="00386AC4" w:rsidP="00386AC4">
      <w:pPr>
        <w:pStyle w:val="Akapitzlist"/>
        <w:ind w:left="360"/>
        <w:rPr>
          <w:rFonts w:asciiTheme="majorHAnsi" w:hAnsiTheme="majorHAnsi" w:cs="Arial"/>
          <w:sz w:val="22"/>
          <w:szCs w:val="22"/>
        </w:rPr>
      </w:pPr>
    </w:p>
    <w:p w14:paraId="658838B4" w14:textId="77777777" w:rsidR="00386AC4" w:rsidRPr="001F6B22" w:rsidRDefault="00386AC4" w:rsidP="00386AC4">
      <w:pPr>
        <w:pStyle w:val="Akapitzlist"/>
        <w:ind w:left="360"/>
        <w:rPr>
          <w:rFonts w:asciiTheme="majorHAnsi" w:hAnsiTheme="majorHAnsi" w:cs="Arial"/>
          <w:sz w:val="22"/>
          <w:szCs w:val="22"/>
        </w:rPr>
      </w:pPr>
    </w:p>
    <w:p w14:paraId="35F44D66" w14:textId="77777777" w:rsidR="00386AC4" w:rsidRPr="001F6B22" w:rsidRDefault="00386AC4" w:rsidP="00386AC4">
      <w:pPr>
        <w:rPr>
          <w:rFonts w:asciiTheme="majorHAnsi" w:hAnsiTheme="majorHAnsi" w:cs="Arial"/>
          <w:sz w:val="22"/>
          <w:szCs w:val="22"/>
        </w:rPr>
      </w:pPr>
    </w:p>
    <w:p w14:paraId="784A0D21" w14:textId="77777777" w:rsidR="00386AC4" w:rsidRPr="001F6B22" w:rsidRDefault="00386AC4" w:rsidP="00386AC4">
      <w:pPr>
        <w:pStyle w:val="Akapitzlist"/>
        <w:ind w:left="360"/>
        <w:jc w:val="center"/>
        <w:rPr>
          <w:rFonts w:asciiTheme="majorHAnsi" w:hAnsiTheme="majorHAnsi" w:cs="Arial"/>
          <w:sz w:val="22"/>
          <w:szCs w:val="22"/>
        </w:rPr>
      </w:pPr>
      <w:r w:rsidRPr="001F6B22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6F1096" wp14:editId="57DC4FCA">
            <wp:simplePos x="0" y="0"/>
            <wp:positionH relativeFrom="column">
              <wp:posOffset>1028700</wp:posOffset>
            </wp:positionH>
            <wp:positionV relativeFrom="paragraph">
              <wp:posOffset>508000</wp:posOffset>
            </wp:positionV>
            <wp:extent cx="4460240" cy="7458075"/>
            <wp:effectExtent l="0" t="0" r="1016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AB57" w14:textId="77777777" w:rsidR="00386AC4" w:rsidRPr="001F6B22" w:rsidRDefault="00386AC4" w:rsidP="00386AC4">
      <w:pPr>
        <w:pStyle w:val="Akapitzlist"/>
        <w:ind w:left="360"/>
        <w:jc w:val="center"/>
        <w:rPr>
          <w:rFonts w:asciiTheme="majorHAnsi" w:hAnsiTheme="majorHAnsi"/>
        </w:rPr>
      </w:pPr>
      <w:r w:rsidRPr="001F6B22">
        <w:rPr>
          <w:rFonts w:asciiTheme="majorHAnsi" w:hAnsiTheme="majorHAnsi" w:cs="Arial"/>
          <w:sz w:val="22"/>
          <w:szCs w:val="22"/>
        </w:rPr>
        <w:t>Rysunek wymiarowy w przypadku mocowania na szynę TH3</w:t>
      </w:r>
    </w:p>
    <w:p w14:paraId="6B480849" w14:textId="61CA0741" w:rsidR="00386AC4" w:rsidRPr="001F6B22" w:rsidRDefault="00386AC4" w:rsidP="00386AC4">
      <w:pPr>
        <w:rPr>
          <w:rFonts w:asciiTheme="majorHAnsi" w:hAnsiTheme="majorHAnsi" w:cs="Arial"/>
          <w:b/>
          <w:sz w:val="22"/>
          <w:szCs w:val="22"/>
        </w:rPr>
      </w:pPr>
    </w:p>
    <w:sectPr w:rsidR="00386AC4" w:rsidRPr="001F6B22" w:rsidSect="005C1553">
      <w:headerReference w:type="default" r:id="rId14"/>
      <w:footerReference w:type="default" r:id="rId15"/>
      <w:pgSz w:w="11906" w:h="16838" w:code="9"/>
      <w:pgMar w:top="1021" w:right="851" w:bottom="567" w:left="1021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3CE3" w14:textId="77777777" w:rsidR="00C21192" w:rsidRDefault="00C21192">
      <w:r>
        <w:separator/>
      </w:r>
    </w:p>
  </w:endnote>
  <w:endnote w:type="continuationSeparator" w:id="0">
    <w:p w14:paraId="4C7FA14B" w14:textId="77777777" w:rsidR="00C21192" w:rsidRDefault="00C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D364" w14:textId="77777777" w:rsidR="00C21192" w:rsidRDefault="00C21192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697A9F68" w14:textId="77777777" w:rsidR="00C21192" w:rsidRPr="002C2E16" w:rsidRDefault="00C21192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140A00">
      <w:rPr>
        <w:rStyle w:val="Numerstrony"/>
        <w:rFonts w:ascii="Verdana" w:hAnsi="Verdana"/>
        <w:noProof/>
        <w:sz w:val="14"/>
        <w:szCs w:val="14"/>
      </w:rPr>
      <w:t>5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140A00">
      <w:rPr>
        <w:rStyle w:val="Numerstrony"/>
        <w:rFonts w:ascii="Verdana" w:hAnsi="Verdana"/>
        <w:noProof/>
        <w:sz w:val="14"/>
        <w:szCs w:val="14"/>
      </w:rPr>
      <w:t>25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3AFC" w14:textId="77777777" w:rsidR="00C21192" w:rsidRDefault="00C21192">
      <w:r>
        <w:separator/>
      </w:r>
    </w:p>
  </w:footnote>
  <w:footnote w:type="continuationSeparator" w:id="0">
    <w:p w14:paraId="114D36B5" w14:textId="77777777" w:rsidR="00C21192" w:rsidRDefault="00C2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5495" w14:textId="77777777" w:rsidR="00C21192" w:rsidRPr="002C2E16" w:rsidRDefault="00C21192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625F5AD1" wp14:editId="7F2BF105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</w:t>
    </w:r>
  </w:p>
  <w:p w14:paraId="40A0A53B" w14:textId="1A5B527A" w:rsidR="00C21192" w:rsidRDefault="00C21192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  <w:shd w:val="clear" w:color="auto" w:fill="FFFF00"/>
      </w:rPr>
    </w:pPr>
    <w:r w:rsidRPr="001132A7">
      <w:rPr>
        <w:rFonts w:ascii="Verdana" w:hAnsi="Verdana" w:cs="Arial"/>
        <w:i/>
        <w:sz w:val="16"/>
        <w:szCs w:val="14"/>
      </w:rPr>
      <w:t xml:space="preserve">Załącznik nr </w:t>
    </w:r>
    <w:r>
      <w:rPr>
        <w:rFonts w:ascii="Verdana" w:hAnsi="Verdana" w:cs="Arial"/>
        <w:i/>
        <w:sz w:val="16"/>
        <w:szCs w:val="14"/>
      </w:rPr>
      <w:t>2</w:t>
    </w:r>
    <w:r w:rsidRPr="001132A7">
      <w:rPr>
        <w:rFonts w:ascii="Verdana" w:hAnsi="Verdana" w:cs="Arial"/>
        <w:i/>
        <w:sz w:val="16"/>
        <w:szCs w:val="14"/>
      </w:rPr>
      <w:t xml:space="preserve"> do ogłoszenia o prowadzeniu dialogu technicznego</w:t>
    </w:r>
    <w:r>
      <w:rPr>
        <w:rFonts w:ascii="Verdana" w:hAnsi="Verdana" w:cs="Arial"/>
        <w:i/>
        <w:sz w:val="14"/>
        <w:szCs w:val="14"/>
      </w:rPr>
      <w:br/>
    </w:r>
    <w:r w:rsidRPr="0056654F">
      <w:rPr>
        <w:rFonts w:ascii="Verdana" w:hAnsi="Verdana" w:cs="Arial"/>
        <w:i/>
        <w:sz w:val="16"/>
        <w:szCs w:val="14"/>
      </w:rPr>
      <w:t xml:space="preserve">Nr sprawy: </w:t>
    </w:r>
    <w:r w:rsidRPr="00C21192">
      <w:rPr>
        <w:rFonts w:ascii="Verdana" w:hAnsi="Verdana" w:cs="Arial"/>
        <w:b/>
        <w:i/>
        <w:sz w:val="16"/>
        <w:szCs w:val="14"/>
      </w:rPr>
      <w:t>DT 1/16</w:t>
    </w:r>
  </w:p>
  <w:p w14:paraId="6DEF9EC0" w14:textId="77777777" w:rsidR="00C21192" w:rsidRPr="002C2E16" w:rsidRDefault="00C21192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</w:p>
  <w:p w14:paraId="1CAA0F2F" w14:textId="77777777" w:rsidR="00C21192" w:rsidRDefault="00C21192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D5"/>
    <w:multiLevelType w:val="multilevel"/>
    <w:tmpl w:val="BF2CA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D9D9D9" w:themeColor="background1" w:themeShade="D9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FFFFFF" w:themeColor="background1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586087"/>
    <w:multiLevelType w:val="multilevel"/>
    <w:tmpl w:val="024A19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5903AA"/>
    <w:multiLevelType w:val="multilevel"/>
    <w:tmpl w:val="7E2E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BD703B"/>
    <w:multiLevelType w:val="hybridMultilevel"/>
    <w:tmpl w:val="95C05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C77C05"/>
    <w:multiLevelType w:val="multilevel"/>
    <w:tmpl w:val="0E04F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10B3944"/>
    <w:multiLevelType w:val="multilevel"/>
    <w:tmpl w:val="836ADD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C326CA"/>
    <w:multiLevelType w:val="multilevel"/>
    <w:tmpl w:val="215E8C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31E4AA1"/>
    <w:multiLevelType w:val="multilevel"/>
    <w:tmpl w:val="A8F65A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3673B54"/>
    <w:multiLevelType w:val="multilevel"/>
    <w:tmpl w:val="E7E27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6A066BE"/>
    <w:multiLevelType w:val="multilevel"/>
    <w:tmpl w:val="077C76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D83466"/>
    <w:multiLevelType w:val="multilevel"/>
    <w:tmpl w:val="616E40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74B65C0"/>
    <w:multiLevelType w:val="multilevel"/>
    <w:tmpl w:val="F13043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8C35345"/>
    <w:multiLevelType w:val="multilevel"/>
    <w:tmpl w:val="78CA5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150660"/>
    <w:multiLevelType w:val="multilevel"/>
    <w:tmpl w:val="F43EA0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223C3E"/>
    <w:multiLevelType w:val="multilevel"/>
    <w:tmpl w:val="AF40CBC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540C50"/>
    <w:multiLevelType w:val="multilevel"/>
    <w:tmpl w:val="65E21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F015709"/>
    <w:multiLevelType w:val="hybridMultilevel"/>
    <w:tmpl w:val="95C05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E84C05"/>
    <w:multiLevelType w:val="multilevel"/>
    <w:tmpl w:val="2F3C6DA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2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1022F95"/>
    <w:multiLevelType w:val="multilevel"/>
    <w:tmpl w:val="5ABAE8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047E82"/>
    <w:multiLevelType w:val="multilevel"/>
    <w:tmpl w:val="4FF83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color w:val="D9D9D9" w:themeColor="background1" w:themeShade="D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16F7EE6"/>
    <w:multiLevelType w:val="multilevel"/>
    <w:tmpl w:val="5078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2255831"/>
    <w:multiLevelType w:val="multilevel"/>
    <w:tmpl w:val="977AA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D9D9D9" w:themeColor="background1" w:themeShade="D9"/>
        <w:sz w:val="20"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40C5552"/>
    <w:multiLevelType w:val="multilevel"/>
    <w:tmpl w:val="79180E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45653B7"/>
    <w:multiLevelType w:val="multilevel"/>
    <w:tmpl w:val="645ED6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62A7F4A"/>
    <w:multiLevelType w:val="multilevel"/>
    <w:tmpl w:val="7CEA9A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7567D4C"/>
    <w:multiLevelType w:val="multilevel"/>
    <w:tmpl w:val="618218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75C6B56"/>
    <w:multiLevelType w:val="multilevel"/>
    <w:tmpl w:val="ECFC31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7845B4D"/>
    <w:multiLevelType w:val="multilevel"/>
    <w:tmpl w:val="567E75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564FD3"/>
    <w:multiLevelType w:val="multilevel"/>
    <w:tmpl w:val="E6F4C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9451627"/>
    <w:multiLevelType w:val="multilevel"/>
    <w:tmpl w:val="F57089E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94C24EF"/>
    <w:multiLevelType w:val="multilevel"/>
    <w:tmpl w:val="BD9CA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9B204BF"/>
    <w:multiLevelType w:val="multilevel"/>
    <w:tmpl w:val="C116EB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A6B3529"/>
    <w:multiLevelType w:val="multilevel"/>
    <w:tmpl w:val="B1ACC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8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B0A1261"/>
    <w:multiLevelType w:val="multilevel"/>
    <w:tmpl w:val="E70409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BB764DE"/>
    <w:multiLevelType w:val="multilevel"/>
    <w:tmpl w:val="D8D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C0F238F"/>
    <w:multiLevelType w:val="multilevel"/>
    <w:tmpl w:val="2904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D9D9D9" w:themeColor="background1" w:themeShade="D9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C675437"/>
    <w:multiLevelType w:val="hybridMultilevel"/>
    <w:tmpl w:val="FA760A3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>
    <w:nsid w:val="1F750DC9"/>
    <w:multiLevelType w:val="multilevel"/>
    <w:tmpl w:val="F4F4D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FD038AB"/>
    <w:multiLevelType w:val="multilevel"/>
    <w:tmpl w:val="3CA87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0AC1FA5"/>
    <w:multiLevelType w:val="multilevel"/>
    <w:tmpl w:val="C3BED1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1697F2D"/>
    <w:multiLevelType w:val="multilevel"/>
    <w:tmpl w:val="A08CC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1806C49"/>
    <w:multiLevelType w:val="multilevel"/>
    <w:tmpl w:val="B330CE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1F20451"/>
    <w:multiLevelType w:val="multilevel"/>
    <w:tmpl w:val="14682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D9D9D9" w:themeColor="background1" w:themeShade="D9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20E2A98"/>
    <w:multiLevelType w:val="multilevel"/>
    <w:tmpl w:val="B412A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56A7F04"/>
    <w:multiLevelType w:val="multilevel"/>
    <w:tmpl w:val="12CA10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25CF35C9"/>
    <w:multiLevelType w:val="multilevel"/>
    <w:tmpl w:val="C584026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6622AF7"/>
    <w:multiLevelType w:val="multilevel"/>
    <w:tmpl w:val="828256F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67D3BB5"/>
    <w:multiLevelType w:val="multilevel"/>
    <w:tmpl w:val="C5362A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6D278D0"/>
    <w:multiLevelType w:val="multilevel"/>
    <w:tmpl w:val="5136E6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72C6CCA"/>
    <w:multiLevelType w:val="multilevel"/>
    <w:tmpl w:val="87845B8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97E10E6"/>
    <w:multiLevelType w:val="multilevel"/>
    <w:tmpl w:val="E52E9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B2442F9"/>
    <w:multiLevelType w:val="multilevel"/>
    <w:tmpl w:val="B6FC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D636B50"/>
    <w:multiLevelType w:val="multilevel"/>
    <w:tmpl w:val="9F0E8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EDD0891"/>
    <w:multiLevelType w:val="hybridMultilevel"/>
    <w:tmpl w:val="845097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2F690C97"/>
    <w:multiLevelType w:val="multilevel"/>
    <w:tmpl w:val="AED46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FB97B2A"/>
    <w:multiLevelType w:val="multilevel"/>
    <w:tmpl w:val="679E7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0E04A93"/>
    <w:multiLevelType w:val="multilevel"/>
    <w:tmpl w:val="57B8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3BE2CC6"/>
    <w:multiLevelType w:val="multilevel"/>
    <w:tmpl w:val="D4F427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6B0493B"/>
    <w:multiLevelType w:val="multilevel"/>
    <w:tmpl w:val="7200E12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70573CA"/>
    <w:multiLevelType w:val="multilevel"/>
    <w:tmpl w:val="DBE6AD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7C009E5"/>
    <w:multiLevelType w:val="multilevel"/>
    <w:tmpl w:val="8FAC351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845685C"/>
    <w:multiLevelType w:val="multilevel"/>
    <w:tmpl w:val="06E283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87650C1"/>
    <w:multiLevelType w:val="multilevel"/>
    <w:tmpl w:val="241E09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9413C4D"/>
    <w:multiLevelType w:val="multilevel"/>
    <w:tmpl w:val="D024A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9897E76"/>
    <w:multiLevelType w:val="multilevel"/>
    <w:tmpl w:val="FB4A13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A701209"/>
    <w:multiLevelType w:val="multilevel"/>
    <w:tmpl w:val="532413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3BE7408F"/>
    <w:multiLevelType w:val="multilevel"/>
    <w:tmpl w:val="B6543E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3CB100ED"/>
    <w:multiLevelType w:val="multilevel"/>
    <w:tmpl w:val="79B8FD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3D2E5E74"/>
    <w:multiLevelType w:val="multilevel"/>
    <w:tmpl w:val="97007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3E13146A"/>
    <w:multiLevelType w:val="multilevel"/>
    <w:tmpl w:val="9B8A99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3E39591A"/>
    <w:multiLevelType w:val="multilevel"/>
    <w:tmpl w:val="83BC5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3F0F596D"/>
    <w:multiLevelType w:val="multilevel"/>
    <w:tmpl w:val="4E1E2E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3F196DB5"/>
    <w:multiLevelType w:val="multilevel"/>
    <w:tmpl w:val="2F0435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3F4E56CE"/>
    <w:multiLevelType w:val="multilevel"/>
    <w:tmpl w:val="F6641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D9D9D9" w:themeColor="background1" w:themeShade="D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405F3360"/>
    <w:multiLevelType w:val="multilevel"/>
    <w:tmpl w:val="780C0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42CB309C"/>
    <w:multiLevelType w:val="multilevel"/>
    <w:tmpl w:val="9A9E2C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3682B64"/>
    <w:multiLevelType w:val="multilevel"/>
    <w:tmpl w:val="6616A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44566861"/>
    <w:multiLevelType w:val="multilevel"/>
    <w:tmpl w:val="414ED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5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46171834"/>
    <w:multiLevelType w:val="multilevel"/>
    <w:tmpl w:val="4F529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64B73A3"/>
    <w:multiLevelType w:val="multilevel"/>
    <w:tmpl w:val="60005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6B006CD"/>
    <w:multiLevelType w:val="multilevel"/>
    <w:tmpl w:val="AA4C95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477F1273"/>
    <w:multiLevelType w:val="multilevel"/>
    <w:tmpl w:val="63BEE1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99056B2"/>
    <w:multiLevelType w:val="multilevel"/>
    <w:tmpl w:val="212E4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49A501E7"/>
    <w:multiLevelType w:val="multilevel"/>
    <w:tmpl w:val="444EE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49A74FEC"/>
    <w:multiLevelType w:val="multilevel"/>
    <w:tmpl w:val="A34C0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49C83BDD"/>
    <w:multiLevelType w:val="multilevel"/>
    <w:tmpl w:val="BED6CCF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4A0C63A3"/>
    <w:multiLevelType w:val="multilevel"/>
    <w:tmpl w:val="461AD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D9D9D9" w:themeColor="background1" w:themeShade="D9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4C2E50CF"/>
    <w:multiLevelType w:val="multilevel"/>
    <w:tmpl w:val="39062E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C7C7FF4"/>
    <w:multiLevelType w:val="multilevel"/>
    <w:tmpl w:val="DD2214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4D0D3FF8"/>
    <w:multiLevelType w:val="multilevel"/>
    <w:tmpl w:val="783AE4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4D310DC9"/>
    <w:multiLevelType w:val="multilevel"/>
    <w:tmpl w:val="08B0C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DAC079A"/>
    <w:multiLevelType w:val="multilevel"/>
    <w:tmpl w:val="082266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4DE87531"/>
    <w:multiLevelType w:val="multilevel"/>
    <w:tmpl w:val="0F5698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4EF7131B"/>
    <w:multiLevelType w:val="multilevel"/>
    <w:tmpl w:val="F1D8B43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50273689"/>
    <w:multiLevelType w:val="multilevel"/>
    <w:tmpl w:val="8550B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39693F"/>
    <w:multiLevelType w:val="multilevel"/>
    <w:tmpl w:val="97E474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5055038C"/>
    <w:multiLevelType w:val="multilevel"/>
    <w:tmpl w:val="68FAC6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51C82184"/>
    <w:multiLevelType w:val="multilevel"/>
    <w:tmpl w:val="8AC63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D9D9D9" w:themeColor="background1" w:themeShade="D9"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D9D9D9" w:themeColor="background1" w:themeShade="D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51CE1ADF"/>
    <w:multiLevelType w:val="multilevel"/>
    <w:tmpl w:val="D6DEA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528E4D71"/>
    <w:multiLevelType w:val="multilevel"/>
    <w:tmpl w:val="FE9AF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53EA6D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54AD3560"/>
    <w:multiLevelType w:val="multilevel"/>
    <w:tmpl w:val="CA5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58101BD0"/>
    <w:multiLevelType w:val="multilevel"/>
    <w:tmpl w:val="03948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5B162A41"/>
    <w:multiLevelType w:val="multilevel"/>
    <w:tmpl w:val="883A9E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5B4C2963"/>
    <w:multiLevelType w:val="multilevel"/>
    <w:tmpl w:val="C024D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5C8D6406"/>
    <w:multiLevelType w:val="multilevel"/>
    <w:tmpl w:val="A30C8B3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5DBA6FFE"/>
    <w:multiLevelType w:val="multilevel"/>
    <w:tmpl w:val="85406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5F3F49DD"/>
    <w:multiLevelType w:val="multilevel"/>
    <w:tmpl w:val="C91249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5FC7146D"/>
    <w:multiLevelType w:val="multilevel"/>
    <w:tmpl w:val="5C36F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60363AF3"/>
    <w:multiLevelType w:val="multilevel"/>
    <w:tmpl w:val="102CAE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60FA318F"/>
    <w:multiLevelType w:val="multilevel"/>
    <w:tmpl w:val="1A30EB4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612E7ED6"/>
    <w:multiLevelType w:val="multilevel"/>
    <w:tmpl w:val="2752E01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61AA7138"/>
    <w:multiLevelType w:val="multilevel"/>
    <w:tmpl w:val="770E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D9D9D9" w:themeColor="background1" w:themeShade="D9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62103CD1"/>
    <w:multiLevelType w:val="multilevel"/>
    <w:tmpl w:val="2AD82D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b w:val="0"/>
        <w:bCs w:val="0"/>
        <w:i w:val="0"/>
        <w:iCs w:val="0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D9D9D9" w:themeColor="background1" w:themeShade="D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63BD249D"/>
    <w:multiLevelType w:val="multilevel"/>
    <w:tmpl w:val="109464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47E0FCD"/>
    <w:multiLevelType w:val="multilevel"/>
    <w:tmpl w:val="BE0C52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66760530"/>
    <w:multiLevelType w:val="multilevel"/>
    <w:tmpl w:val="065662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6889174B"/>
    <w:multiLevelType w:val="multilevel"/>
    <w:tmpl w:val="ED50A4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699A0E43"/>
    <w:multiLevelType w:val="multilevel"/>
    <w:tmpl w:val="7144C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6A5E6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A9D4946"/>
    <w:multiLevelType w:val="multilevel"/>
    <w:tmpl w:val="89F88B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DD83421"/>
    <w:multiLevelType w:val="hybridMultilevel"/>
    <w:tmpl w:val="3D4630C2"/>
    <w:lvl w:ilvl="0" w:tplc="39C466AA">
      <w:start w:val="20"/>
      <w:numFmt w:val="bullet"/>
      <w:lvlText w:val="-"/>
      <w:lvlJc w:val="left"/>
      <w:pPr>
        <w:ind w:left="10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2">
    <w:nsid w:val="6E021ED8"/>
    <w:multiLevelType w:val="multilevel"/>
    <w:tmpl w:val="B7221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6EA15ED0"/>
    <w:multiLevelType w:val="multilevel"/>
    <w:tmpl w:val="22C41D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6F345BF1"/>
    <w:multiLevelType w:val="multilevel"/>
    <w:tmpl w:val="DB3AC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6F5559E1"/>
    <w:multiLevelType w:val="multilevel"/>
    <w:tmpl w:val="70D03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04608A9"/>
    <w:multiLevelType w:val="multilevel"/>
    <w:tmpl w:val="CFFC8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725E53A4"/>
    <w:multiLevelType w:val="multilevel"/>
    <w:tmpl w:val="14069B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727E1C37"/>
    <w:multiLevelType w:val="multilevel"/>
    <w:tmpl w:val="7BB2E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73B70A53"/>
    <w:multiLevelType w:val="multilevel"/>
    <w:tmpl w:val="31CCB8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74651219"/>
    <w:multiLevelType w:val="multilevel"/>
    <w:tmpl w:val="1A0C89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74DD17B2"/>
    <w:multiLevelType w:val="multilevel"/>
    <w:tmpl w:val="FA903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764747C0"/>
    <w:multiLevelType w:val="multilevel"/>
    <w:tmpl w:val="F7283B3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>
    <w:nsid w:val="76754A98"/>
    <w:multiLevelType w:val="multilevel"/>
    <w:tmpl w:val="DF6E1F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>
    <w:nsid w:val="77A24DCB"/>
    <w:multiLevelType w:val="multilevel"/>
    <w:tmpl w:val="275E94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78274A42"/>
    <w:multiLevelType w:val="multilevel"/>
    <w:tmpl w:val="16D43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78995045"/>
    <w:multiLevelType w:val="multilevel"/>
    <w:tmpl w:val="E1BC66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D9D9D9" w:themeColor="background1" w:themeShade="D9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79A45A81"/>
    <w:multiLevelType w:val="multilevel"/>
    <w:tmpl w:val="0B9EFD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ADF1180"/>
    <w:multiLevelType w:val="multilevel"/>
    <w:tmpl w:val="8984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CF759D3"/>
    <w:multiLevelType w:val="multilevel"/>
    <w:tmpl w:val="087CE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D4930BA"/>
    <w:multiLevelType w:val="multilevel"/>
    <w:tmpl w:val="C5FE1A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E1542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7E167782"/>
    <w:multiLevelType w:val="multilevel"/>
    <w:tmpl w:val="174E6D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E7117F2"/>
    <w:multiLevelType w:val="multilevel"/>
    <w:tmpl w:val="BB88E5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>
    <w:nsid w:val="7FA7045A"/>
    <w:multiLevelType w:val="multilevel"/>
    <w:tmpl w:val="3DC05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1"/>
  </w:num>
  <w:num w:numId="2">
    <w:abstractNumId w:val="100"/>
  </w:num>
  <w:num w:numId="3">
    <w:abstractNumId w:val="53"/>
  </w:num>
  <w:num w:numId="4">
    <w:abstractNumId w:val="2"/>
  </w:num>
  <w:num w:numId="5">
    <w:abstractNumId w:val="15"/>
  </w:num>
  <w:num w:numId="6">
    <w:abstractNumId w:val="129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asciiTheme="minorHAnsi" w:hAnsiTheme="minorHAnsi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38"/>
  </w:num>
  <w:num w:numId="9">
    <w:abstractNumId w:val="68"/>
  </w:num>
  <w:num w:numId="10">
    <w:abstractNumId w:val="13"/>
  </w:num>
  <w:num w:numId="11">
    <w:abstractNumId w:val="122"/>
  </w:num>
  <w:num w:numId="12">
    <w:abstractNumId w:val="102"/>
  </w:num>
  <w:num w:numId="13">
    <w:abstractNumId w:val="117"/>
  </w:num>
  <w:num w:numId="14">
    <w:abstractNumId w:val="20"/>
  </w:num>
  <w:num w:numId="15">
    <w:abstractNumId w:val="97"/>
  </w:num>
  <w:num w:numId="16">
    <w:abstractNumId w:val="113"/>
  </w:num>
  <w:num w:numId="17">
    <w:abstractNumId w:val="131"/>
  </w:num>
  <w:num w:numId="18">
    <w:abstractNumId w:val="63"/>
  </w:num>
  <w:num w:numId="19">
    <w:abstractNumId w:val="139"/>
  </w:num>
  <w:num w:numId="20">
    <w:abstractNumId w:val="82"/>
  </w:num>
  <w:num w:numId="21">
    <w:abstractNumId w:val="0"/>
  </w:num>
  <w:num w:numId="22">
    <w:abstractNumId w:val="32"/>
  </w:num>
  <w:num w:numId="23">
    <w:abstractNumId w:val="99"/>
  </w:num>
  <w:num w:numId="24">
    <w:abstractNumId w:val="38"/>
  </w:num>
  <w:num w:numId="25">
    <w:abstractNumId w:val="91"/>
  </w:num>
  <w:num w:numId="26">
    <w:abstractNumId w:val="7"/>
  </w:num>
  <w:num w:numId="27">
    <w:abstractNumId w:val="44"/>
  </w:num>
  <w:num w:numId="28">
    <w:abstractNumId w:val="104"/>
  </w:num>
  <w:num w:numId="29">
    <w:abstractNumId w:val="84"/>
  </w:num>
  <w:num w:numId="30">
    <w:abstractNumId w:val="109"/>
  </w:num>
  <w:num w:numId="31">
    <w:abstractNumId w:val="125"/>
  </w:num>
  <w:num w:numId="32">
    <w:abstractNumId w:val="19"/>
  </w:num>
  <w:num w:numId="33">
    <w:abstractNumId w:val="48"/>
  </w:num>
  <w:num w:numId="34">
    <w:abstractNumId w:val="52"/>
  </w:num>
  <w:num w:numId="35">
    <w:abstractNumId w:val="56"/>
  </w:num>
  <w:num w:numId="36">
    <w:abstractNumId w:val="41"/>
  </w:num>
  <w:num w:numId="37">
    <w:abstractNumId w:val="120"/>
  </w:num>
  <w:num w:numId="38">
    <w:abstractNumId w:val="95"/>
  </w:num>
  <w:num w:numId="39">
    <w:abstractNumId w:val="88"/>
  </w:num>
  <w:num w:numId="40">
    <w:abstractNumId w:val="98"/>
  </w:num>
  <w:num w:numId="41">
    <w:abstractNumId w:val="74"/>
  </w:num>
  <w:num w:numId="42">
    <w:abstractNumId w:val="126"/>
  </w:num>
  <w:num w:numId="43">
    <w:abstractNumId w:val="62"/>
  </w:num>
  <w:num w:numId="44">
    <w:abstractNumId w:val="22"/>
  </w:num>
  <w:num w:numId="45">
    <w:abstractNumId w:val="94"/>
  </w:num>
  <w:num w:numId="46">
    <w:abstractNumId w:val="9"/>
  </w:num>
  <w:num w:numId="47">
    <w:abstractNumId w:val="116"/>
  </w:num>
  <w:num w:numId="48">
    <w:abstractNumId w:val="5"/>
  </w:num>
  <w:num w:numId="49">
    <w:abstractNumId w:val="30"/>
  </w:num>
  <w:num w:numId="50">
    <w:abstractNumId w:val="96"/>
  </w:num>
  <w:num w:numId="51">
    <w:abstractNumId w:val="87"/>
  </w:num>
  <w:num w:numId="52">
    <w:abstractNumId w:val="55"/>
  </w:num>
  <w:num w:numId="53">
    <w:abstractNumId w:val="1"/>
  </w:num>
  <w:num w:numId="54">
    <w:abstractNumId w:val="80"/>
  </w:num>
  <w:num w:numId="55">
    <w:abstractNumId w:val="54"/>
  </w:num>
  <w:num w:numId="56">
    <w:abstractNumId w:val="47"/>
  </w:num>
  <w:num w:numId="57">
    <w:abstractNumId w:val="93"/>
  </w:num>
  <w:num w:numId="58">
    <w:abstractNumId w:val="23"/>
  </w:num>
  <w:num w:numId="59">
    <w:abstractNumId w:val="72"/>
  </w:num>
  <w:num w:numId="60">
    <w:abstractNumId w:val="127"/>
  </w:num>
  <w:num w:numId="61">
    <w:abstractNumId w:val="110"/>
  </w:num>
  <w:num w:numId="62">
    <w:abstractNumId w:val="107"/>
  </w:num>
  <w:num w:numId="63">
    <w:abstractNumId w:val="29"/>
  </w:num>
  <w:num w:numId="64">
    <w:abstractNumId w:val="49"/>
  </w:num>
  <w:num w:numId="65">
    <w:abstractNumId w:val="24"/>
  </w:num>
  <w:num w:numId="66">
    <w:abstractNumId w:val="105"/>
  </w:num>
  <w:num w:numId="67">
    <w:abstractNumId w:val="103"/>
  </w:num>
  <w:num w:numId="68">
    <w:abstractNumId w:val="45"/>
  </w:num>
  <w:num w:numId="69">
    <w:abstractNumId w:val="57"/>
  </w:num>
  <w:num w:numId="70">
    <w:abstractNumId w:val="27"/>
  </w:num>
  <w:num w:numId="71">
    <w:abstractNumId w:val="28"/>
  </w:num>
  <w:num w:numId="72">
    <w:abstractNumId w:val="34"/>
  </w:num>
  <w:num w:numId="73">
    <w:abstractNumId w:val="124"/>
  </w:num>
  <w:num w:numId="74">
    <w:abstractNumId w:val="73"/>
  </w:num>
  <w:num w:numId="75">
    <w:abstractNumId w:val="8"/>
  </w:num>
  <w:num w:numId="76">
    <w:abstractNumId w:val="75"/>
  </w:num>
  <w:num w:numId="77">
    <w:abstractNumId w:val="90"/>
  </w:num>
  <w:num w:numId="78">
    <w:abstractNumId w:val="128"/>
  </w:num>
  <w:num w:numId="79">
    <w:abstractNumId w:val="12"/>
  </w:num>
  <w:num w:numId="80">
    <w:abstractNumId w:val="4"/>
  </w:num>
  <w:num w:numId="81">
    <w:abstractNumId w:val="118"/>
  </w:num>
  <w:num w:numId="82">
    <w:abstractNumId w:val="83"/>
  </w:num>
  <w:num w:numId="83">
    <w:abstractNumId w:val="144"/>
  </w:num>
  <w:num w:numId="84">
    <w:abstractNumId w:val="121"/>
  </w:num>
  <w:num w:numId="85">
    <w:abstractNumId w:val="21"/>
  </w:num>
  <w:num w:numId="86">
    <w:abstractNumId w:val="115"/>
  </w:num>
  <w:num w:numId="87">
    <w:abstractNumId w:val="106"/>
  </w:num>
  <w:num w:numId="88">
    <w:abstractNumId w:val="135"/>
  </w:num>
  <w:num w:numId="89">
    <w:abstractNumId w:val="64"/>
  </w:num>
  <w:num w:numId="90">
    <w:abstractNumId w:val="78"/>
  </w:num>
  <w:num w:numId="91">
    <w:abstractNumId w:val="70"/>
  </w:num>
  <w:num w:numId="92">
    <w:abstractNumId w:val="35"/>
  </w:num>
  <w:num w:numId="93">
    <w:abstractNumId w:val="112"/>
  </w:num>
  <w:num w:numId="94">
    <w:abstractNumId w:val="42"/>
  </w:num>
  <w:num w:numId="95">
    <w:abstractNumId w:val="137"/>
  </w:num>
  <w:num w:numId="96">
    <w:abstractNumId w:val="50"/>
  </w:num>
  <w:num w:numId="97">
    <w:abstractNumId w:val="33"/>
  </w:num>
  <w:num w:numId="98">
    <w:abstractNumId w:val="61"/>
  </w:num>
  <w:num w:numId="99">
    <w:abstractNumId w:val="31"/>
  </w:num>
  <w:num w:numId="100">
    <w:abstractNumId w:val="31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  <w:sz w:val="20"/>
        </w:rPr>
      </w:lvl>
    </w:lvlOverride>
    <w:lvlOverride w:ilvl="1">
      <w:lvl w:ilvl="1">
        <w:start w:val="28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b w:val="0"/>
          <w:bCs w:val="0"/>
          <w:color w:val="D9D9D9" w:themeColor="background1" w:themeShade="D9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80"/>
        </w:pPr>
        <w:rPr>
          <w:rFonts w:hint="default"/>
          <w:color w:val="D9D9D9" w:themeColor="background1" w:themeShade="D9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color w:val="D9D9D9" w:themeColor="background1" w:themeShade="D9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1">
    <w:abstractNumId w:val="69"/>
  </w:num>
  <w:num w:numId="102">
    <w:abstractNumId w:val="114"/>
  </w:num>
  <w:num w:numId="103">
    <w:abstractNumId w:val="37"/>
  </w:num>
  <w:num w:numId="104">
    <w:abstractNumId w:val="43"/>
  </w:num>
  <w:num w:numId="105">
    <w:abstractNumId w:val="81"/>
  </w:num>
  <w:num w:numId="106">
    <w:abstractNumId w:val="10"/>
  </w:num>
  <w:num w:numId="107">
    <w:abstractNumId w:val="89"/>
  </w:num>
  <w:num w:numId="108">
    <w:abstractNumId w:val="79"/>
  </w:num>
  <w:num w:numId="109">
    <w:abstractNumId w:val="123"/>
  </w:num>
  <w:num w:numId="110">
    <w:abstractNumId w:val="11"/>
  </w:num>
  <w:num w:numId="111">
    <w:abstractNumId w:val="18"/>
  </w:num>
  <w:num w:numId="112">
    <w:abstractNumId w:val="26"/>
  </w:num>
  <w:num w:numId="113">
    <w:abstractNumId w:val="39"/>
  </w:num>
  <w:num w:numId="114">
    <w:abstractNumId w:val="40"/>
  </w:num>
  <w:num w:numId="115">
    <w:abstractNumId w:val="92"/>
  </w:num>
  <w:num w:numId="116">
    <w:abstractNumId w:val="133"/>
  </w:num>
  <w:num w:numId="117">
    <w:abstractNumId w:val="140"/>
  </w:num>
  <w:num w:numId="118">
    <w:abstractNumId w:val="77"/>
  </w:num>
  <w:num w:numId="119">
    <w:abstractNumId w:val="71"/>
  </w:num>
  <w:num w:numId="120">
    <w:abstractNumId w:val="130"/>
  </w:num>
  <w:num w:numId="121">
    <w:abstractNumId w:val="143"/>
  </w:num>
  <w:num w:numId="122">
    <w:abstractNumId w:val="66"/>
  </w:num>
  <w:num w:numId="123">
    <w:abstractNumId w:val="58"/>
  </w:num>
  <w:num w:numId="124">
    <w:abstractNumId w:val="142"/>
  </w:num>
  <w:num w:numId="125">
    <w:abstractNumId w:val="134"/>
  </w:num>
  <w:num w:numId="126">
    <w:abstractNumId w:val="60"/>
  </w:num>
  <w:num w:numId="127">
    <w:abstractNumId w:val="6"/>
  </w:num>
  <w:num w:numId="128">
    <w:abstractNumId w:val="67"/>
  </w:num>
  <w:num w:numId="129">
    <w:abstractNumId w:val="136"/>
  </w:num>
  <w:num w:numId="130">
    <w:abstractNumId w:val="85"/>
  </w:num>
  <w:num w:numId="131">
    <w:abstractNumId w:val="65"/>
  </w:num>
  <w:num w:numId="132">
    <w:abstractNumId w:val="132"/>
  </w:num>
  <w:num w:numId="133">
    <w:abstractNumId w:val="111"/>
  </w:num>
  <w:num w:numId="134">
    <w:abstractNumId w:val="17"/>
  </w:num>
  <w:num w:numId="135">
    <w:abstractNumId w:val="25"/>
  </w:num>
  <w:num w:numId="136">
    <w:abstractNumId w:val="14"/>
  </w:num>
  <w:num w:numId="137">
    <w:abstractNumId w:val="46"/>
  </w:num>
  <w:num w:numId="138">
    <w:abstractNumId w:val="86"/>
  </w:num>
  <w:num w:numId="139">
    <w:abstractNumId w:val="101"/>
  </w:num>
  <w:num w:numId="140">
    <w:abstractNumId w:val="59"/>
  </w:num>
  <w:num w:numId="141">
    <w:abstractNumId w:val="108"/>
  </w:num>
  <w:num w:numId="142">
    <w:abstractNumId w:val="51"/>
  </w:num>
  <w:num w:numId="143">
    <w:abstractNumId w:val="76"/>
  </w:num>
  <w:num w:numId="144">
    <w:abstractNumId w:val="3"/>
  </w:num>
  <w:num w:numId="145">
    <w:abstractNumId w:val="16"/>
  </w:num>
  <w:num w:numId="146">
    <w:abstractNumId w:val="119"/>
  </w:num>
  <w:num w:numId="147">
    <w:abstractNumId w:val="3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C71"/>
    <w:rsid w:val="00032D74"/>
    <w:rsid w:val="00033FF5"/>
    <w:rsid w:val="000346C0"/>
    <w:rsid w:val="00036380"/>
    <w:rsid w:val="00036858"/>
    <w:rsid w:val="00036E9D"/>
    <w:rsid w:val="0004417F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675D"/>
    <w:rsid w:val="00067951"/>
    <w:rsid w:val="000704E1"/>
    <w:rsid w:val="00071891"/>
    <w:rsid w:val="00074E9C"/>
    <w:rsid w:val="00081FE1"/>
    <w:rsid w:val="0008204E"/>
    <w:rsid w:val="00082638"/>
    <w:rsid w:val="00082CC0"/>
    <w:rsid w:val="00083331"/>
    <w:rsid w:val="000834A8"/>
    <w:rsid w:val="00083EF6"/>
    <w:rsid w:val="00085F9C"/>
    <w:rsid w:val="00086A29"/>
    <w:rsid w:val="0009159A"/>
    <w:rsid w:val="00093990"/>
    <w:rsid w:val="000A0E7F"/>
    <w:rsid w:val="000A21F7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0E2F"/>
    <w:rsid w:val="001132A7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A00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2034"/>
    <w:rsid w:val="00162F7F"/>
    <w:rsid w:val="00163EAD"/>
    <w:rsid w:val="00163FBA"/>
    <w:rsid w:val="0016695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6B22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2859"/>
    <w:rsid w:val="002334FF"/>
    <w:rsid w:val="00234115"/>
    <w:rsid w:val="002357CA"/>
    <w:rsid w:val="00245E50"/>
    <w:rsid w:val="002508BC"/>
    <w:rsid w:val="0025482B"/>
    <w:rsid w:val="00255E7C"/>
    <w:rsid w:val="00257FD5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0D1A"/>
    <w:rsid w:val="0037325D"/>
    <w:rsid w:val="00374E9A"/>
    <w:rsid w:val="00375883"/>
    <w:rsid w:val="00376486"/>
    <w:rsid w:val="0037664E"/>
    <w:rsid w:val="00383A95"/>
    <w:rsid w:val="003863DD"/>
    <w:rsid w:val="00386AC4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4760"/>
    <w:rsid w:val="003E7E39"/>
    <w:rsid w:val="003F2AA5"/>
    <w:rsid w:val="003F35DB"/>
    <w:rsid w:val="003F5768"/>
    <w:rsid w:val="003F5A11"/>
    <w:rsid w:val="003F77A4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0F2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146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654F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33B3"/>
    <w:rsid w:val="005B43DF"/>
    <w:rsid w:val="005B7EED"/>
    <w:rsid w:val="005C1553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04B2"/>
    <w:rsid w:val="00622CCA"/>
    <w:rsid w:val="006247F7"/>
    <w:rsid w:val="00632589"/>
    <w:rsid w:val="00634BFF"/>
    <w:rsid w:val="00641338"/>
    <w:rsid w:val="00647B55"/>
    <w:rsid w:val="00647E42"/>
    <w:rsid w:val="00650270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49A2"/>
    <w:rsid w:val="0068514F"/>
    <w:rsid w:val="00687AF4"/>
    <w:rsid w:val="00692458"/>
    <w:rsid w:val="00693DD0"/>
    <w:rsid w:val="006959B6"/>
    <w:rsid w:val="00695D35"/>
    <w:rsid w:val="006A2B19"/>
    <w:rsid w:val="006A5442"/>
    <w:rsid w:val="006A5815"/>
    <w:rsid w:val="006B1801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6F6770"/>
    <w:rsid w:val="0070177C"/>
    <w:rsid w:val="00710625"/>
    <w:rsid w:val="00713D11"/>
    <w:rsid w:val="0071718E"/>
    <w:rsid w:val="007178E0"/>
    <w:rsid w:val="0072060A"/>
    <w:rsid w:val="00725AC3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488B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2D3C"/>
    <w:rsid w:val="007A6659"/>
    <w:rsid w:val="007A7876"/>
    <w:rsid w:val="007B29E4"/>
    <w:rsid w:val="007C077F"/>
    <w:rsid w:val="007C0DCE"/>
    <w:rsid w:val="007D4941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96BED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206D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18F"/>
    <w:rsid w:val="009C04DC"/>
    <w:rsid w:val="009C1A6F"/>
    <w:rsid w:val="009C3059"/>
    <w:rsid w:val="009C6AF7"/>
    <w:rsid w:val="009D1F5C"/>
    <w:rsid w:val="009D3A30"/>
    <w:rsid w:val="009D79D9"/>
    <w:rsid w:val="009E5838"/>
    <w:rsid w:val="009E6726"/>
    <w:rsid w:val="009F1704"/>
    <w:rsid w:val="009F269D"/>
    <w:rsid w:val="009F39FD"/>
    <w:rsid w:val="009F786E"/>
    <w:rsid w:val="00A01149"/>
    <w:rsid w:val="00A01502"/>
    <w:rsid w:val="00A1343D"/>
    <w:rsid w:val="00A201A4"/>
    <w:rsid w:val="00A21687"/>
    <w:rsid w:val="00A22D22"/>
    <w:rsid w:val="00A24083"/>
    <w:rsid w:val="00A30E49"/>
    <w:rsid w:val="00A31DC8"/>
    <w:rsid w:val="00A362F8"/>
    <w:rsid w:val="00A415D4"/>
    <w:rsid w:val="00A4236B"/>
    <w:rsid w:val="00A43418"/>
    <w:rsid w:val="00A46964"/>
    <w:rsid w:val="00A500CA"/>
    <w:rsid w:val="00A5332F"/>
    <w:rsid w:val="00A5634B"/>
    <w:rsid w:val="00A618F8"/>
    <w:rsid w:val="00A647ED"/>
    <w:rsid w:val="00A71CB7"/>
    <w:rsid w:val="00A73FF6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BD4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A13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751B0"/>
    <w:rsid w:val="00B803B3"/>
    <w:rsid w:val="00B80885"/>
    <w:rsid w:val="00B86C52"/>
    <w:rsid w:val="00B90486"/>
    <w:rsid w:val="00B94255"/>
    <w:rsid w:val="00B96835"/>
    <w:rsid w:val="00B9694A"/>
    <w:rsid w:val="00BA07A9"/>
    <w:rsid w:val="00BA10C1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6DDC"/>
    <w:rsid w:val="00BC7204"/>
    <w:rsid w:val="00BD02A0"/>
    <w:rsid w:val="00BD2B50"/>
    <w:rsid w:val="00BD72CC"/>
    <w:rsid w:val="00BD7A59"/>
    <w:rsid w:val="00BE14CE"/>
    <w:rsid w:val="00BE1A31"/>
    <w:rsid w:val="00BE39E6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1192"/>
    <w:rsid w:val="00C23A83"/>
    <w:rsid w:val="00C2460A"/>
    <w:rsid w:val="00C24C72"/>
    <w:rsid w:val="00C25C61"/>
    <w:rsid w:val="00C269A5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272A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3E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C69F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CF5D8A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3685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1AF5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39E8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2575A"/>
    <w:rsid w:val="00F324F1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3E2C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B480B"/>
    <w:rsid w:val="00FC28F9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99C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aliases w:val="Preambuła,Akapit z listą1,List Paragraph,PRIME List with bullets"/>
    <w:basedOn w:val="Normalny"/>
    <w:link w:val="AkapitzlistZnak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styleId="Hipercze">
    <w:name w:val="Hyperlink"/>
    <w:rsid w:val="00386AC4"/>
    <w:rPr>
      <w:rFonts w:ascii="Arial Narrow" w:hAnsi="Arial Narrow"/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386AC4"/>
    <w:pPr>
      <w:spacing w:line="280" w:lineRule="exact"/>
      <w:jc w:val="both"/>
    </w:pPr>
    <w:rPr>
      <w:rFonts w:ascii="Arial Narrow" w:hAnsi="Arial Narrow"/>
      <w:szCs w:val="24"/>
    </w:rPr>
  </w:style>
  <w:style w:type="paragraph" w:customStyle="1" w:styleId="nazwaadresata">
    <w:name w:val="nazwa adresata"/>
    <w:basedOn w:val="departament"/>
    <w:next w:val="imiinazwisko"/>
    <w:rsid w:val="00386AC4"/>
  </w:style>
  <w:style w:type="paragraph" w:customStyle="1" w:styleId="imiinazwisko">
    <w:name w:val="imię i nazwisko"/>
    <w:basedOn w:val="nazwaadresata"/>
    <w:next w:val="Normalny"/>
    <w:rsid w:val="00386AC4"/>
  </w:style>
  <w:style w:type="paragraph" w:customStyle="1" w:styleId="adres">
    <w:name w:val="adres"/>
    <w:basedOn w:val="departament"/>
    <w:rsid w:val="00386AC4"/>
    <w:pPr>
      <w:jc w:val="left"/>
    </w:pPr>
    <w:rPr>
      <w:b/>
    </w:rPr>
  </w:style>
  <w:style w:type="paragraph" w:customStyle="1" w:styleId="adresodbiorcy">
    <w:name w:val="adres odbiorcy"/>
    <w:basedOn w:val="adres"/>
    <w:rsid w:val="00386AC4"/>
    <w:pPr>
      <w:jc w:val="right"/>
    </w:pPr>
  </w:style>
  <w:style w:type="paragraph" w:customStyle="1" w:styleId="firma">
    <w:name w:val="firma"/>
    <w:basedOn w:val="departament"/>
    <w:rsid w:val="00386AC4"/>
    <w:pPr>
      <w:spacing w:line="200" w:lineRule="exact"/>
    </w:pPr>
    <w:rPr>
      <w:noProof/>
    </w:rPr>
  </w:style>
  <w:style w:type="paragraph" w:customStyle="1" w:styleId="firmalight">
    <w:name w:val="firma_light"/>
    <w:basedOn w:val="firma"/>
    <w:rsid w:val="00386AC4"/>
  </w:style>
  <w:style w:type="paragraph" w:customStyle="1" w:styleId="Firma0">
    <w:name w:val="Firma"/>
    <w:basedOn w:val="Normalny"/>
    <w:next w:val="Normalny"/>
    <w:rsid w:val="00386AC4"/>
    <w:pPr>
      <w:spacing w:line="320" w:lineRule="exact"/>
      <w:jc w:val="both"/>
    </w:pPr>
    <w:rPr>
      <w:rFonts w:ascii="Arial Narrow" w:hAnsi="Arial Narrow"/>
      <w:szCs w:val="24"/>
    </w:rPr>
  </w:style>
  <w:style w:type="paragraph" w:styleId="NormalnyWeb">
    <w:name w:val="Normal (Web)"/>
    <w:basedOn w:val="Normalny"/>
    <w:uiPriority w:val="99"/>
    <w:unhideWhenUsed/>
    <w:rsid w:val="00386AC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Web1">
    <w:name w:val="Normalny (Web)1"/>
    <w:basedOn w:val="Normalny"/>
    <w:rsid w:val="00386AC4"/>
    <w:pPr>
      <w:spacing w:before="100" w:after="100"/>
      <w:jc w:val="both"/>
    </w:pPr>
    <w:rPr>
      <w:lang w:val="en-US"/>
    </w:rPr>
  </w:style>
  <w:style w:type="paragraph" w:styleId="Tytu">
    <w:name w:val="Title"/>
    <w:basedOn w:val="Normalny"/>
    <w:link w:val="TytuZnak"/>
    <w:qFormat/>
    <w:locked/>
    <w:rsid w:val="00386AC4"/>
    <w:pPr>
      <w:jc w:val="center"/>
    </w:pPr>
    <w:rPr>
      <w:rFonts w:ascii="Arial Narrow" w:hAnsi="Arial Narrow"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386AC4"/>
    <w:rPr>
      <w:rFonts w:ascii="Arial Narrow" w:hAnsi="Arial Narrow"/>
      <w:sz w:val="24"/>
      <w:szCs w:val="20"/>
      <w:lang w:eastAsia="ar-SA"/>
    </w:rPr>
  </w:style>
  <w:style w:type="character" w:styleId="Pogrubienie">
    <w:name w:val="Strong"/>
    <w:qFormat/>
    <w:locked/>
    <w:rsid w:val="00386AC4"/>
    <w:rPr>
      <w:b/>
      <w:bCs/>
    </w:rPr>
  </w:style>
  <w:style w:type="paragraph" w:customStyle="1" w:styleId="pkt">
    <w:name w:val="pkt"/>
    <w:basedOn w:val="Normalny"/>
    <w:rsid w:val="00386AC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386AC4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Normalny"/>
    <w:rsid w:val="00386AC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Normalny"/>
    <w:rsid w:val="00386AC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40">
    <w:name w:val="Font Style40"/>
    <w:rsid w:val="00386AC4"/>
    <w:rPr>
      <w:rFonts w:ascii="MS Reference Sans Serif" w:hAnsi="MS Reference Sans Serif" w:cs="MS Reference Sans Serif"/>
      <w:i/>
      <w:iCs/>
      <w:color w:val="000000"/>
      <w:spacing w:val="20"/>
      <w:sz w:val="12"/>
      <w:szCs w:val="12"/>
    </w:rPr>
  </w:style>
  <w:style w:type="character" w:customStyle="1" w:styleId="FontStyle48">
    <w:name w:val="Font Style48"/>
    <w:rsid w:val="00386AC4"/>
    <w:rPr>
      <w:rFonts w:ascii="Tahoma" w:hAnsi="Tahoma" w:cs="Tahoma"/>
      <w:color w:val="000000"/>
      <w:sz w:val="16"/>
      <w:szCs w:val="16"/>
    </w:rPr>
  </w:style>
  <w:style w:type="character" w:customStyle="1" w:styleId="FontStyle49">
    <w:name w:val="Font Style49"/>
    <w:rsid w:val="00386AC4"/>
    <w:rPr>
      <w:rFonts w:ascii="Tahoma" w:hAnsi="Tahoma" w:cs="Tahom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rsid w:val="00386AC4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character" w:customStyle="1" w:styleId="FontStyle46">
    <w:name w:val="Font Style46"/>
    <w:rsid w:val="00386AC4"/>
    <w:rPr>
      <w:rFonts w:ascii="Bookman Old Style" w:hAnsi="Bookman Old Style" w:cs="Bookman Old Style"/>
      <w:b/>
      <w:bCs/>
      <w:color w:val="000000"/>
      <w:spacing w:val="-10"/>
      <w:sz w:val="18"/>
      <w:szCs w:val="18"/>
    </w:rPr>
  </w:style>
  <w:style w:type="paragraph" w:customStyle="1" w:styleId="Style29">
    <w:name w:val="Style29"/>
    <w:basedOn w:val="Normalny"/>
    <w:rsid w:val="00386AC4"/>
    <w:pPr>
      <w:widowControl w:val="0"/>
      <w:autoSpaceDE w:val="0"/>
      <w:autoSpaceDN w:val="0"/>
      <w:adjustRightInd w:val="0"/>
      <w:spacing w:line="224" w:lineRule="exact"/>
      <w:ind w:hanging="25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20">
    <w:name w:val="Style20"/>
    <w:basedOn w:val="Normalny"/>
    <w:rsid w:val="00386AC4"/>
    <w:pPr>
      <w:widowControl w:val="0"/>
      <w:autoSpaceDE w:val="0"/>
      <w:autoSpaceDN w:val="0"/>
      <w:adjustRightInd w:val="0"/>
      <w:spacing w:line="221" w:lineRule="exact"/>
      <w:ind w:hanging="240"/>
    </w:pPr>
    <w:rPr>
      <w:rFonts w:ascii="MS Reference Sans Serif" w:hAnsi="MS Reference Sans Serif"/>
      <w:sz w:val="24"/>
      <w:szCs w:val="24"/>
    </w:rPr>
  </w:style>
  <w:style w:type="paragraph" w:customStyle="1" w:styleId="Style8">
    <w:name w:val="Style8"/>
    <w:basedOn w:val="Normalny"/>
    <w:rsid w:val="00386AC4"/>
    <w:pPr>
      <w:widowControl w:val="0"/>
      <w:autoSpaceDE w:val="0"/>
      <w:autoSpaceDN w:val="0"/>
      <w:adjustRightInd w:val="0"/>
      <w:spacing w:line="206" w:lineRule="exact"/>
      <w:ind w:firstLine="653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alny"/>
    <w:rsid w:val="00386AC4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rsid w:val="00386AC4"/>
    <w:rPr>
      <w:rFonts w:ascii="Arial" w:hAnsi="Arial" w:cs="Arial"/>
      <w:color w:val="000000"/>
      <w:sz w:val="16"/>
      <w:szCs w:val="16"/>
    </w:rPr>
  </w:style>
  <w:style w:type="character" w:customStyle="1" w:styleId="FontStyle19">
    <w:name w:val="Font Style19"/>
    <w:rsid w:val="00386AC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18">
    <w:name w:val="Font Style18"/>
    <w:rsid w:val="00386AC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rsid w:val="00386AC4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paragraph" w:customStyle="1" w:styleId="ZnakZnak1">
    <w:name w:val="Znak Znak1"/>
    <w:basedOn w:val="Normalny"/>
    <w:rsid w:val="00386AC4"/>
    <w:pPr>
      <w:spacing w:after="120" w:line="360" w:lineRule="auto"/>
      <w:jc w:val="both"/>
    </w:pPr>
    <w:rPr>
      <w:rFonts w:ascii="Verdana" w:hAnsi="Verdana" w:cs="Arial"/>
      <w:b/>
      <w:bCs/>
    </w:rPr>
  </w:style>
  <w:style w:type="paragraph" w:customStyle="1" w:styleId="stopka0">
    <w:name w:val="stopka"/>
    <w:basedOn w:val="Normalny"/>
    <w:link w:val="stopkaZnak0"/>
    <w:qFormat/>
    <w:rsid w:val="00386AC4"/>
    <w:pPr>
      <w:framePr w:hSpace="141" w:wrap="around" w:vAnchor="text" w:hAnchor="page" w:x="1496" w:y="8459"/>
      <w:spacing w:line="200" w:lineRule="exact"/>
      <w:jc w:val="both"/>
    </w:pPr>
    <w:rPr>
      <w:rFonts w:ascii="Arial Narrow" w:eastAsia="Calibri" w:hAnsi="Arial Narrow"/>
      <w:noProof/>
      <w:color w:val="640036"/>
      <w:sz w:val="14"/>
      <w:szCs w:val="14"/>
    </w:rPr>
  </w:style>
  <w:style w:type="character" w:customStyle="1" w:styleId="stopkaZnak0">
    <w:name w:val="stopka Znak"/>
    <w:link w:val="stopka0"/>
    <w:rsid w:val="00386AC4"/>
    <w:rPr>
      <w:rFonts w:ascii="Arial Narrow" w:eastAsia="Calibri" w:hAnsi="Arial Narrow"/>
      <w:noProof/>
      <w:color w:val="640036"/>
      <w:sz w:val="14"/>
      <w:szCs w:val="14"/>
    </w:rPr>
  </w:style>
  <w:style w:type="character" w:customStyle="1" w:styleId="AkapitzlistZnak">
    <w:name w:val="Akapit z listą Znak"/>
    <w:aliases w:val="Preambuła Znak,Akapit z listą1 Znak,List Paragraph Znak,PRIME List with bullets Znak"/>
    <w:link w:val="Akapitzlist"/>
    <w:uiPriority w:val="34"/>
    <w:locked/>
    <w:rsid w:val="00386A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aliases w:val="Preambuła,Akapit z listą1,List Paragraph,PRIME List with bullets"/>
    <w:basedOn w:val="Normalny"/>
    <w:link w:val="AkapitzlistZnak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styleId="Hipercze">
    <w:name w:val="Hyperlink"/>
    <w:rsid w:val="00386AC4"/>
    <w:rPr>
      <w:rFonts w:ascii="Arial Narrow" w:hAnsi="Arial Narrow"/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386AC4"/>
    <w:pPr>
      <w:spacing w:line="280" w:lineRule="exact"/>
      <w:jc w:val="both"/>
    </w:pPr>
    <w:rPr>
      <w:rFonts w:ascii="Arial Narrow" w:hAnsi="Arial Narrow"/>
      <w:szCs w:val="24"/>
    </w:rPr>
  </w:style>
  <w:style w:type="paragraph" w:customStyle="1" w:styleId="nazwaadresata">
    <w:name w:val="nazwa adresata"/>
    <w:basedOn w:val="departament"/>
    <w:next w:val="imiinazwisko"/>
    <w:rsid w:val="00386AC4"/>
  </w:style>
  <w:style w:type="paragraph" w:customStyle="1" w:styleId="imiinazwisko">
    <w:name w:val="imię i nazwisko"/>
    <w:basedOn w:val="nazwaadresata"/>
    <w:next w:val="Normalny"/>
    <w:rsid w:val="00386AC4"/>
  </w:style>
  <w:style w:type="paragraph" w:customStyle="1" w:styleId="adres">
    <w:name w:val="adres"/>
    <w:basedOn w:val="departament"/>
    <w:rsid w:val="00386AC4"/>
    <w:pPr>
      <w:jc w:val="left"/>
    </w:pPr>
    <w:rPr>
      <w:b/>
    </w:rPr>
  </w:style>
  <w:style w:type="paragraph" w:customStyle="1" w:styleId="adresodbiorcy">
    <w:name w:val="adres odbiorcy"/>
    <w:basedOn w:val="adres"/>
    <w:rsid w:val="00386AC4"/>
    <w:pPr>
      <w:jc w:val="right"/>
    </w:pPr>
  </w:style>
  <w:style w:type="paragraph" w:customStyle="1" w:styleId="firma">
    <w:name w:val="firma"/>
    <w:basedOn w:val="departament"/>
    <w:rsid w:val="00386AC4"/>
    <w:pPr>
      <w:spacing w:line="200" w:lineRule="exact"/>
    </w:pPr>
    <w:rPr>
      <w:noProof/>
    </w:rPr>
  </w:style>
  <w:style w:type="paragraph" w:customStyle="1" w:styleId="firmalight">
    <w:name w:val="firma_light"/>
    <w:basedOn w:val="firma"/>
    <w:rsid w:val="00386AC4"/>
  </w:style>
  <w:style w:type="paragraph" w:customStyle="1" w:styleId="Firma0">
    <w:name w:val="Firma"/>
    <w:basedOn w:val="Normalny"/>
    <w:next w:val="Normalny"/>
    <w:rsid w:val="00386AC4"/>
    <w:pPr>
      <w:spacing w:line="320" w:lineRule="exact"/>
      <w:jc w:val="both"/>
    </w:pPr>
    <w:rPr>
      <w:rFonts w:ascii="Arial Narrow" w:hAnsi="Arial Narrow"/>
      <w:szCs w:val="24"/>
    </w:rPr>
  </w:style>
  <w:style w:type="paragraph" w:styleId="NormalnyWeb">
    <w:name w:val="Normal (Web)"/>
    <w:basedOn w:val="Normalny"/>
    <w:uiPriority w:val="99"/>
    <w:unhideWhenUsed/>
    <w:rsid w:val="00386AC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Web1">
    <w:name w:val="Normalny (Web)1"/>
    <w:basedOn w:val="Normalny"/>
    <w:rsid w:val="00386AC4"/>
    <w:pPr>
      <w:spacing w:before="100" w:after="100"/>
      <w:jc w:val="both"/>
    </w:pPr>
    <w:rPr>
      <w:lang w:val="en-US"/>
    </w:rPr>
  </w:style>
  <w:style w:type="paragraph" w:styleId="Tytu">
    <w:name w:val="Title"/>
    <w:basedOn w:val="Normalny"/>
    <w:link w:val="TytuZnak"/>
    <w:qFormat/>
    <w:locked/>
    <w:rsid w:val="00386AC4"/>
    <w:pPr>
      <w:jc w:val="center"/>
    </w:pPr>
    <w:rPr>
      <w:rFonts w:ascii="Arial Narrow" w:hAnsi="Arial Narrow"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386AC4"/>
    <w:rPr>
      <w:rFonts w:ascii="Arial Narrow" w:hAnsi="Arial Narrow"/>
      <w:sz w:val="24"/>
      <w:szCs w:val="20"/>
      <w:lang w:eastAsia="ar-SA"/>
    </w:rPr>
  </w:style>
  <w:style w:type="character" w:styleId="Pogrubienie">
    <w:name w:val="Strong"/>
    <w:qFormat/>
    <w:locked/>
    <w:rsid w:val="00386AC4"/>
    <w:rPr>
      <w:b/>
      <w:bCs/>
    </w:rPr>
  </w:style>
  <w:style w:type="paragraph" w:customStyle="1" w:styleId="pkt">
    <w:name w:val="pkt"/>
    <w:basedOn w:val="Normalny"/>
    <w:rsid w:val="00386AC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386AC4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Normalny"/>
    <w:rsid w:val="00386AC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Normalny"/>
    <w:rsid w:val="00386AC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40">
    <w:name w:val="Font Style40"/>
    <w:rsid w:val="00386AC4"/>
    <w:rPr>
      <w:rFonts w:ascii="MS Reference Sans Serif" w:hAnsi="MS Reference Sans Serif" w:cs="MS Reference Sans Serif"/>
      <w:i/>
      <w:iCs/>
      <w:color w:val="000000"/>
      <w:spacing w:val="20"/>
      <w:sz w:val="12"/>
      <w:szCs w:val="12"/>
    </w:rPr>
  </w:style>
  <w:style w:type="character" w:customStyle="1" w:styleId="FontStyle48">
    <w:name w:val="Font Style48"/>
    <w:rsid w:val="00386AC4"/>
    <w:rPr>
      <w:rFonts w:ascii="Tahoma" w:hAnsi="Tahoma" w:cs="Tahoma"/>
      <w:color w:val="000000"/>
      <w:sz w:val="16"/>
      <w:szCs w:val="16"/>
    </w:rPr>
  </w:style>
  <w:style w:type="character" w:customStyle="1" w:styleId="FontStyle49">
    <w:name w:val="Font Style49"/>
    <w:rsid w:val="00386AC4"/>
    <w:rPr>
      <w:rFonts w:ascii="Tahoma" w:hAnsi="Tahoma" w:cs="Tahom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rsid w:val="00386AC4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character" w:customStyle="1" w:styleId="FontStyle46">
    <w:name w:val="Font Style46"/>
    <w:rsid w:val="00386AC4"/>
    <w:rPr>
      <w:rFonts w:ascii="Bookman Old Style" w:hAnsi="Bookman Old Style" w:cs="Bookman Old Style"/>
      <w:b/>
      <w:bCs/>
      <w:color w:val="000000"/>
      <w:spacing w:val="-10"/>
      <w:sz w:val="18"/>
      <w:szCs w:val="18"/>
    </w:rPr>
  </w:style>
  <w:style w:type="paragraph" w:customStyle="1" w:styleId="Style29">
    <w:name w:val="Style29"/>
    <w:basedOn w:val="Normalny"/>
    <w:rsid w:val="00386AC4"/>
    <w:pPr>
      <w:widowControl w:val="0"/>
      <w:autoSpaceDE w:val="0"/>
      <w:autoSpaceDN w:val="0"/>
      <w:adjustRightInd w:val="0"/>
      <w:spacing w:line="224" w:lineRule="exact"/>
      <w:ind w:hanging="25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20">
    <w:name w:val="Style20"/>
    <w:basedOn w:val="Normalny"/>
    <w:rsid w:val="00386AC4"/>
    <w:pPr>
      <w:widowControl w:val="0"/>
      <w:autoSpaceDE w:val="0"/>
      <w:autoSpaceDN w:val="0"/>
      <w:adjustRightInd w:val="0"/>
      <w:spacing w:line="221" w:lineRule="exact"/>
      <w:ind w:hanging="240"/>
    </w:pPr>
    <w:rPr>
      <w:rFonts w:ascii="MS Reference Sans Serif" w:hAnsi="MS Reference Sans Serif"/>
      <w:sz w:val="24"/>
      <w:szCs w:val="24"/>
    </w:rPr>
  </w:style>
  <w:style w:type="paragraph" w:customStyle="1" w:styleId="Style8">
    <w:name w:val="Style8"/>
    <w:basedOn w:val="Normalny"/>
    <w:rsid w:val="00386AC4"/>
    <w:pPr>
      <w:widowControl w:val="0"/>
      <w:autoSpaceDE w:val="0"/>
      <w:autoSpaceDN w:val="0"/>
      <w:adjustRightInd w:val="0"/>
      <w:spacing w:line="206" w:lineRule="exact"/>
      <w:ind w:firstLine="653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alny"/>
    <w:rsid w:val="00386AC4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rsid w:val="00386AC4"/>
    <w:rPr>
      <w:rFonts w:ascii="Arial" w:hAnsi="Arial" w:cs="Arial"/>
      <w:color w:val="000000"/>
      <w:sz w:val="16"/>
      <w:szCs w:val="16"/>
    </w:rPr>
  </w:style>
  <w:style w:type="character" w:customStyle="1" w:styleId="FontStyle19">
    <w:name w:val="Font Style19"/>
    <w:rsid w:val="00386AC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18">
    <w:name w:val="Font Style18"/>
    <w:rsid w:val="00386AC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rsid w:val="00386AC4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paragraph" w:customStyle="1" w:styleId="ZnakZnak1">
    <w:name w:val="Znak Znak1"/>
    <w:basedOn w:val="Normalny"/>
    <w:rsid w:val="00386AC4"/>
    <w:pPr>
      <w:spacing w:after="120" w:line="360" w:lineRule="auto"/>
      <w:jc w:val="both"/>
    </w:pPr>
    <w:rPr>
      <w:rFonts w:ascii="Verdana" w:hAnsi="Verdana" w:cs="Arial"/>
      <w:b/>
      <w:bCs/>
    </w:rPr>
  </w:style>
  <w:style w:type="paragraph" w:customStyle="1" w:styleId="stopka0">
    <w:name w:val="stopka"/>
    <w:basedOn w:val="Normalny"/>
    <w:link w:val="stopkaZnak0"/>
    <w:qFormat/>
    <w:rsid w:val="00386AC4"/>
    <w:pPr>
      <w:framePr w:hSpace="141" w:wrap="around" w:vAnchor="text" w:hAnchor="page" w:x="1496" w:y="8459"/>
      <w:spacing w:line="200" w:lineRule="exact"/>
      <w:jc w:val="both"/>
    </w:pPr>
    <w:rPr>
      <w:rFonts w:ascii="Arial Narrow" w:eastAsia="Calibri" w:hAnsi="Arial Narrow"/>
      <w:noProof/>
      <w:color w:val="640036"/>
      <w:sz w:val="14"/>
      <w:szCs w:val="14"/>
    </w:rPr>
  </w:style>
  <w:style w:type="character" w:customStyle="1" w:styleId="stopkaZnak0">
    <w:name w:val="stopka Znak"/>
    <w:link w:val="stopka0"/>
    <w:rsid w:val="00386AC4"/>
    <w:rPr>
      <w:rFonts w:ascii="Arial Narrow" w:eastAsia="Calibri" w:hAnsi="Arial Narrow"/>
      <w:noProof/>
      <w:color w:val="640036"/>
      <w:sz w:val="14"/>
      <w:szCs w:val="14"/>
    </w:rPr>
  </w:style>
  <w:style w:type="character" w:customStyle="1" w:styleId="AkapitzlistZnak">
    <w:name w:val="Akapit z listą Znak"/>
    <w:aliases w:val="Preambuła Znak,Akapit z listą1 Znak,List Paragraph Znak,PRIME List with bullets Znak"/>
    <w:link w:val="Akapitzlist"/>
    <w:uiPriority w:val="34"/>
    <w:locked/>
    <w:rsid w:val="00386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.com/lit/an/sboa130a/sboa130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Rysunek_programu_Microsoft_Visio1111111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E902-9FB2-4A66-8347-4A8A5C0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9329</Words>
  <Characters>60885</Characters>
  <Application>Microsoft Office Word</Application>
  <DocSecurity>0</DocSecurity>
  <Lines>507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70074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Hejna Stanisław</cp:lastModifiedBy>
  <cp:revision>27</cp:revision>
  <cp:lastPrinted>2013-09-12T10:12:00Z</cp:lastPrinted>
  <dcterms:created xsi:type="dcterms:W3CDTF">2016-01-22T10:34:00Z</dcterms:created>
  <dcterms:modified xsi:type="dcterms:W3CDTF">2016-02-02T11:49:00Z</dcterms:modified>
</cp:coreProperties>
</file>